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18BB" w14:textId="6D07582A" w:rsidR="00EB2CB0" w:rsidRPr="003D2373" w:rsidRDefault="00831386" w:rsidP="00D60FB3">
      <w:pPr>
        <w:pStyle w:val="BodyText"/>
        <w:numPr>
          <w:ilvl w:val="0"/>
          <w:numId w:val="3"/>
        </w:numPr>
        <w:pBdr>
          <w:top w:val="single" w:sz="4" w:space="1" w:color="auto"/>
        </w:pBdr>
        <w:jc w:val="both"/>
        <w:rPr>
          <w:rFonts w:asciiTheme="minorHAnsi" w:hAnsiTheme="minorHAnsi" w:cstheme="minorHAnsi"/>
          <w:color w:val="1F497D"/>
          <w:szCs w:val="24"/>
        </w:rPr>
      </w:pPr>
      <w:r>
        <w:rPr>
          <w:rFonts w:asciiTheme="minorHAnsi" w:hAnsiTheme="minorHAnsi" w:cstheme="minorHAnsi"/>
          <w:color w:val="1F497D"/>
          <w:szCs w:val="24"/>
        </w:rPr>
        <w:t>P</w:t>
      </w:r>
      <w:r w:rsidR="00EB2CB0" w:rsidRPr="003D2373">
        <w:rPr>
          <w:rFonts w:asciiTheme="minorHAnsi" w:hAnsiTheme="minorHAnsi" w:cstheme="minorHAnsi"/>
          <w:color w:val="1F497D"/>
          <w:szCs w:val="24"/>
        </w:rPr>
        <w:t xml:space="preserve">urpose of </w:t>
      </w:r>
      <w:r w:rsidR="005BA08E" w:rsidRPr="003D2373">
        <w:rPr>
          <w:rFonts w:asciiTheme="minorHAnsi" w:hAnsiTheme="minorHAnsi" w:cstheme="minorHAnsi"/>
          <w:color w:val="1F497D"/>
          <w:szCs w:val="24"/>
        </w:rPr>
        <w:t>policy</w:t>
      </w:r>
    </w:p>
    <w:p w14:paraId="4FEEBCC9" w14:textId="08C3EF23" w:rsidR="00EB2CB0" w:rsidRPr="003D2373" w:rsidRDefault="00EB2CB0" w:rsidP="300DD8BC">
      <w:pPr>
        <w:spacing w:line="240" w:lineRule="auto"/>
        <w:jc w:val="both"/>
        <w:rPr>
          <w:rFonts w:asciiTheme="minorHAnsi" w:hAnsiTheme="minorHAnsi" w:cstheme="minorBidi"/>
          <w:sz w:val="24"/>
          <w:szCs w:val="24"/>
        </w:rPr>
      </w:pPr>
      <w:r w:rsidRPr="31843FBB">
        <w:rPr>
          <w:rFonts w:asciiTheme="minorHAnsi" w:hAnsiTheme="minorHAnsi" w:cstheme="minorBidi"/>
          <w:sz w:val="24"/>
          <w:szCs w:val="24"/>
        </w:rPr>
        <w:t xml:space="preserve">This </w:t>
      </w:r>
      <w:r w:rsidR="00D71684" w:rsidRPr="31843FBB">
        <w:rPr>
          <w:rFonts w:asciiTheme="minorHAnsi" w:hAnsiTheme="minorHAnsi" w:cstheme="minorBidi"/>
          <w:sz w:val="24"/>
          <w:szCs w:val="24"/>
        </w:rPr>
        <w:t xml:space="preserve">document </w:t>
      </w:r>
      <w:r w:rsidRPr="31843FBB">
        <w:rPr>
          <w:rFonts w:asciiTheme="minorHAnsi" w:hAnsiTheme="minorHAnsi" w:cstheme="minorBidi"/>
          <w:sz w:val="24"/>
          <w:szCs w:val="24"/>
        </w:rPr>
        <w:t xml:space="preserve">outlines the principles and guidance notes for medicines access schemes, both those schemes for unlicensed medicines and those for medicines that are licensed and </w:t>
      </w:r>
      <w:r w:rsidR="2C69C9B5" w:rsidRPr="31843FBB">
        <w:rPr>
          <w:rFonts w:asciiTheme="minorHAnsi" w:hAnsiTheme="minorHAnsi" w:cstheme="minorBidi"/>
          <w:sz w:val="24"/>
          <w:szCs w:val="24"/>
        </w:rPr>
        <w:t xml:space="preserve">either </w:t>
      </w:r>
      <w:r w:rsidRPr="31843FBB">
        <w:rPr>
          <w:rFonts w:asciiTheme="minorHAnsi" w:hAnsiTheme="minorHAnsi" w:cstheme="minorBidi"/>
          <w:sz w:val="24"/>
          <w:szCs w:val="24"/>
        </w:rPr>
        <w:t>awaiting evaluation by the Scottish Medicines Consortium</w:t>
      </w:r>
      <w:r w:rsidR="00311BB5" w:rsidRPr="31843FBB">
        <w:rPr>
          <w:rFonts w:asciiTheme="minorHAnsi" w:hAnsiTheme="minorHAnsi" w:cstheme="minorBidi"/>
          <w:sz w:val="24"/>
          <w:szCs w:val="24"/>
        </w:rPr>
        <w:t xml:space="preserve"> </w:t>
      </w:r>
      <w:r w:rsidR="7472B00D" w:rsidRPr="31843FBB">
        <w:rPr>
          <w:rFonts w:asciiTheme="minorHAnsi" w:hAnsiTheme="minorHAnsi" w:cstheme="minorBidi"/>
          <w:sz w:val="24"/>
          <w:szCs w:val="24"/>
        </w:rPr>
        <w:t>(SMC) or following acceptance by SMC</w:t>
      </w:r>
      <w:r w:rsidRPr="31843FBB">
        <w:rPr>
          <w:rFonts w:asciiTheme="minorHAnsi" w:hAnsiTheme="minorHAnsi" w:cstheme="minorBidi"/>
          <w:sz w:val="24"/>
          <w:szCs w:val="24"/>
        </w:rPr>
        <w:t>.  It covers the authorisation and prescribing of medicines accessed via such schemes.</w:t>
      </w:r>
    </w:p>
    <w:p w14:paraId="14CD58B8" w14:textId="77777777" w:rsidR="00EB2CB0" w:rsidRPr="003D2373" w:rsidRDefault="00EB2CB0" w:rsidP="00D60FB3">
      <w:pPr>
        <w:pStyle w:val="BodyText"/>
        <w:numPr>
          <w:ilvl w:val="0"/>
          <w:numId w:val="3"/>
        </w:numPr>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Scope</w:t>
      </w:r>
    </w:p>
    <w:p w14:paraId="24D13B53" w14:textId="61F7A327" w:rsidR="00EB2CB0" w:rsidRPr="003D2373" w:rsidRDefault="00EB2CB0" w:rsidP="300DD8BC">
      <w:pPr>
        <w:spacing w:line="240" w:lineRule="auto"/>
        <w:jc w:val="both"/>
        <w:rPr>
          <w:rFonts w:asciiTheme="minorHAnsi" w:hAnsiTheme="minorHAnsi" w:cstheme="minorBidi"/>
          <w:sz w:val="24"/>
          <w:szCs w:val="24"/>
        </w:rPr>
      </w:pPr>
      <w:r w:rsidRPr="300DD8BC">
        <w:rPr>
          <w:rFonts w:asciiTheme="minorHAnsi" w:hAnsiTheme="minorHAnsi" w:cstheme="minorBidi"/>
          <w:sz w:val="24"/>
          <w:szCs w:val="24"/>
        </w:rPr>
        <w:t xml:space="preserve">This </w:t>
      </w:r>
      <w:r w:rsidR="72DDC1D9" w:rsidRPr="300DD8BC">
        <w:rPr>
          <w:rFonts w:asciiTheme="minorHAnsi" w:hAnsiTheme="minorHAnsi" w:cstheme="minorBidi"/>
          <w:sz w:val="24"/>
          <w:szCs w:val="24"/>
        </w:rPr>
        <w:t>policy</w:t>
      </w:r>
      <w:r w:rsidRPr="300DD8BC">
        <w:rPr>
          <w:rFonts w:asciiTheme="minorHAnsi" w:hAnsiTheme="minorHAnsi" w:cstheme="minorBidi"/>
          <w:sz w:val="24"/>
          <w:szCs w:val="24"/>
        </w:rPr>
        <w:t xml:space="preserve"> applies to all medical, nursing and healthcare staff in the Acute Division of NHSGGC (including adult, paediatric and mental health services) involved in the procurement, prescribing, supply and administration of medicines. For the purpose of this guidance, this includes those with honorary contracts, partnership and agency staff.</w:t>
      </w:r>
    </w:p>
    <w:p w14:paraId="09DDA6A3" w14:textId="510DA759" w:rsidR="00EB2CB0" w:rsidRPr="003D2373" w:rsidRDefault="189DA27D" w:rsidP="00D60FB3">
      <w:pPr>
        <w:pStyle w:val="BodyText"/>
        <w:numPr>
          <w:ilvl w:val="0"/>
          <w:numId w:val="3"/>
        </w:numPr>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Terminology</w:t>
      </w:r>
    </w:p>
    <w:p w14:paraId="37DB18C5" w14:textId="2A1C89CB" w:rsidR="001C759E" w:rsidRPr="003D2373" w:rsidRDefault="001C759E" w:rsidP="003D2373">
      <w:pPr>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The names used for medicines access schemes can vary greatly, and in many cases are decided by individual pharmaceutical manufacturers.  The following terms are those use</w:t>
      </w:r>
      <w:r w:rsidR="3A4D7EE5" w:rsidRPr="003D2373">
        <w:rPr>
          <w:rFonts w:asciiTheme="minorHAnsi" w:hAnsiTheme="minorHAnsi" w:cstheme="minorHAnsi"/>
          <w:sz w:val="24"/>
          <w:szCs w:val="24"/>
        </w:rPr>
        <w:t>d</w:t>
      </w:r>
      <w:r w:rsidRPr="003D2373">
        <w:rPr>
          <w:rFonts w:asciiTheme="minorHAnsi" w:hAnsiTheme="minorHAnsi" w:cstheme="minorHAnsi"/>
          <w:sz w:val="24"/>
          <w:szCs w:val="24"/>
        </w:rPr>
        <w:t xml:space="preserve"> most frequently.</w:t>
      </w:r>
    </w:p>
    <w:p w14:paraId="174E79A2" w14:textId="7732016A" w:rsidR="00EB2CB0" w:rsidRPr="003D2373" w:rsidRDefault="00EB2CB0" w:rsidP="00D60FB3">
      <w:pPr>
        <w:pStyle w:val="BodyText"/>
        <w:numPr>
          <w:ilvl w:val="1"/>
          <w:numId w:val="3"/>
        </w:numPr>
        <w:ind w:left="709"/>
        <w:jc w:val="left"/>
        <w:outlineLvl w:val="1"/>
        <w:rPr>
          <w:rFonts w:asciiTheme="minorHAnsi" w:hAnsiTheme="minorHAnsi" w:cstheme="minorHAnsi"/>
          <w:szCs w:val="24"/>
        </w:rPr>
      </w:pPr>
      <w:r w:rsidRPr="003D2373">
        <w:rPr>
          <w:rFonts w:asciiTheme="minorHAnsi" w:hAnsiTheme="minorHAnsi" w:cstheme="minorHAnsi"/>
          <w:szCs w:val="24"/>
        </w:rPr>
        <w:t>Unlicensed medicines schemes</w:t>
      </w:r>
    </w:p>
    <w:p w14:paraId="389CFB18" w14:textId="3A0F96BF" w:rsidR="00EB2CB0" w:rsidRPr="003D2373" w:rsidRDefault="74C3E670" w:rsidP="003D2373">
      <w:pPr>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U</w:t>
      </w:r>
      <w:r w:rsidR="00EB2CB0" w:rsidRPr="003D2373">
        <w:rPr>
          <w:rFonts w:asciiTheme="minorHAnsi" w:hAnsiTheme="minorHAnsi" w:cstheme="minorHAnsi"/>
          <w:sz w:val="24"/>
          <w:szCs w:val="24"/>
        </w:rPr>
        <w:t>nlicensed medicines schemes</w:t>
      </w:r>
      <w:r w:rsidR="00AF02E8" w:rsidRPr="003D2373">
        <w:rPr>
          <w:rFonts w:asciiTheme="minorHAnsi" w:hAnsiTheme="minorHAnsi" w:cstheme="minorHAnsi"/>
          <w:sz w:val="24"/>
          <w:szCs w:val="24"/>
        </w:rPr>
        <w:t xml:space="preserve"> </w:t>
      </w:r>
      <w:r w:rsidR="00EB2CB0" w:rsidRPr="003D2373">
        <w:rPr>
          <w:rFonts w:asciiTheme="minorHAnsi" w:hAnsiTheme="minorHAnsi" w:cstheme="minorHAnsi"/>
          <w:sz w:val="24"/>
          <w:szCs w:val="24"/>
        </w:rPr>
        <w:t>aim to make available a medicine that has not yet received a product licence (marketing authorisation) within the UK for its intended use.</w:t>
      </w:r>
    </w:p>
    <w:p w14:paraId="7A986AA8" w14:textId="77777777" w:rsidR="00EB2CB0" w:rsidRPr="003D2373" w:rsidRDefault="00EB2CB0" w:rsidP="00D60FB3">
      <w:pPr>
        <w:pStyle w:val="BodyText"/>
        <w:numPr>
          <w:ilvl w:val="2"/>
          <w:numId w:val="3"/>
        </w:numPr>
        <w:jc w:val="left"/>
        <w:outlineLvl w:val="1"/>
        <w:rPr>
          <w:rFonts w:asciiTheme="minorHAnsi" w:hAnsiTheme="minorHAnsi" w:cstheme="minorHAnsi"/>
          <w:szCs w:val="24"/>
        </w:rPr>
      </w:pPr>
      <w:r w:rsidRPr="003D2373">
        <w:rPr>
          <w:rFonts w:asciiTheme="minorHAnsi" w:hAnsiTheme="minorHAnsi" w:cstheme="minorHAnsi"/>
          <w:szCs w:val="24"/>
        </w:rPr>
        <w:t>Compassionate use programmes</w:t>
      </w:r>
    </w:p>
    <w:p w14:paraId="4440B83A" w14:textId="77777777" w:rsidR="00EB2CB0" w:rsidRPr="003D2373" w:rsidRDefault="00EB2CB0" w:rsidP="31843FBB">
      <w:pPr>
        <w:pStyle w:val="BodyText"/>
        <w:ind w:left="1418"/>
        <w:jc w:val="left"/>
        <w:outlineLvl w:val="1"/>
        <w:rPr>
          <w:rFonts w:asciiTheme="minorHAnsi" w:hAnsiTheme="minorHAnsi" w:cstheme="minorBidi"/>
          <w:b w:val="0"/>
        </w:rPr>
      </w:pPr>
      <w:r w:rsidRPr="31843FBB">
        <w:rPr>
          <w:rFonts w:asciiTheme="minorHAnsi" w:hAnsiTheme="minorHAnsi" w:cstheme="minorBidi"/>
          <w:b w:val="0"/>
        </w:rPr>
        <w:t xml:space="preserve">The European Medicines Agency (EMA) defines compassionate use as: </w:t>
      </w:r>
    </w:p>
    <w:p w14:paraId="01E85307" w14:textId="27E3E9F5" w:rsidR="00EB2CB0" w:rsidRPr="003D2373" w:rsidRDefault="00EB2CB0" w:rsidP="003D2373">
      <w:pPr>
        <w:pStyle w:val="BodyText"/>
        <w:ind w:left="1418"/>
        <w:jc w:val="left"/>
        <w:outlineLvl w:val="1"/>
        <w:rPr>
          <w:rFonts w:asciiTheme="minorHAnsi" w:hAnsiTheme="minorHAnsi" w:cstheme="minorHAnsi"/>
          <w:b w:val="0"/>
          <w:szCs w:val="24"/>
        </w:rPr>
      </w:pPr>
      <w:r w:rsidRPr="003D2373">
        <w:rPr>
          <w:rFonts w:asciiTheme="minorHAnsi" w:hAnsiTheme="minorHAnsi" w:cstheme="minorHAnsi"/>
          <w:b w:val="0"/>
          <w:i/>
          <w:szCs w:val="24"/>
        </w:rPr>
        <w:t>“…</w:t>
      </w:r>
      <w:r w:rsidRPr="003D2373">
        <w:rPr>
          <w:rFonts w:asciiTheme="minorHAnsi" w:hAnsiTheme="minorHAnsi" w:cstheme="minorHAnsi"/>
          <w:b w:val="0"/>
          <w:bCs/>
          <w:i/>
          <w:szCs w:val="24"/>
        </w:rPr>
        <w:t xml:space="preserve">a treatment option that allows the use of an unauthorised medicine.  </w:t>
      </w:r>
      <w:r w:rsidR="00374803" w:rsidRPr="00374803">
        <w:rPr>
          <w:rFonts w:asciiTheme="minorHAnsi" w:hAnsiTheme="minorHAnsi" w:cstheme="minorHAnsi"/>
          <w:b w:val="0"/>
          <w:bCs/>
          <w:i/>
          <w:szCs w:val="24"/>
        </w:rPr>
        <w:t>Under strict conditions, products in development can be made available to groups of patients who have a disease with no satisfactory authorised therapies and who cannot enter clinical trials</w:t>
      </w:r>
      <w:r w:rsidR="00786F96">
        <w:rPr>
          <w:rFonts w:asciiTheme="minorHAnsi" w:hAnsiTheme="minorHAnsi" w:cstheme="minorHAnsi"/>
          <w:b w:val="0"/>
          <w:bCs/>
          <w:i/>
          <w:szCs w:val="24"/>
        </w:rPr>
        <w:t>”</w:t>
      </w:r>
      <w:r w:rsidR="00F618B7">
        <w:rPr>
          <w:rFonts w:asciiTheme="minorHAnsi" w:hAnsiTheme="minorHAnsi" w:cstheme="minorHAnsi"/>
          <w:b w:val="0"/>
          <w:bCs/>
          <w:i/>
          <w:szCs w:val="24"/>
        </w:rPr>
        <w:t>.</w:t>
      </w:r>
      <w:r w:rsidRPr="003D2373">
        <w:rPr>
          <w:rStyle w:val="FootnoteReference"/>
          <w:rFonts w:asciiTheme="minorHAnsi" w:hAnsiTheme="minorHAnsi" w:cstheme="minorHAnsi"/>
          <w:b w:val="0"/>
          <w:bCs/>
          <w:i/>
          <w:szCs w:val="24"/>
        </w:rPr>
        <w:footnoteReference w:id="1"/>
      </w:r>
    </w:p>
    <w:p w14:paraId="48C5F1BC" w14:textId="6D93364A" w:rsidR="00EB2CB0" w:rsidRPr="003D2373" w:rsidRDefault="00EB2CB0" w:rsidP="003D2373">
      <w:pPr>
        <w:spacing w:line="240" w:lineRule="auto"/>
        <w:ind w:left="1418"/>
        <w:jc w:val="both"/>
        <w:rPr>
          <w:rFonts w:asciiTheme="minorHAnsi" w:hAnsiTheme="minorHAnsi" w:cstheme="minorHAnsi"/>
          <w:bCs/>
          <w:sz w:val="24"/>
          <w:szCs w:val="24"/>
        </w:rPr>
      </w:pPr>
      <w:r w:rsidRPr="003D2373">
        <w:rPr>
          <w:rFonts w:asciiTheme="minorHAnsi" w:hAnsiTheme="minorHAnsi" w:cstheme="minorHAnsi"/>
          <w:bCs/>
          <w:sz w:val="24"/>
          <w:szCs w:val="24"/>
        </w:rPr>
        <w:t xml:space="preserve">They are intended to facilitate the availability to patients of new treatment options under development. </w:t>
      </w:r>
      <w:r w:rsidRPr="003D2373">
        <w:rPr>
          <w:rFonts w:asciiTheme="minorHAnsi" w:hAnsiTheme="minorHAnsi" w:cstheme="minorHAnsi"/>
          <w:sz w:val="24"/>
          <w:szCs w:val="24"/>
        </w:rPr>
        <w:t>Compassionate use programmes put in place by the EMA are for medicines expected to benefit patients:</w:t>
      </w:r>
    </w:p>
    <w:p w14:paraId="6CD789FF" w14:textId="77777777" w:rsidR="00EB2CB0" w:rsidRPr="003D2373" w:rsidRDefault="00EB2CB0" w:rsidP="00D60FB3">
      <w:pPr>
        <w:numPr>
          <w:ilvl w:val="0"/>
          <w:numId w:val="1"/>
        </w:numPr>
        <w:spacing w:after="0" w:line="240" w:lineRule="auto"/>
        <w:ind w:left="1843"/>
        <w:jc w:val="both"/>
        <w:rPr>
          <w:rFonts w:asciiTheme="minorHAnsi" w:hAnsiTheme="minorHAnsi" w:cstheme="minorHAnsi"/>
          <w:sz w:val="24"/>
          <w:szCs w:val="24"/>
        </w:rPr>
      </w:pPr>
      <w:r w:rsidRPr="003D2373">
        <w:rPr>
          <w:rFonts w:asciiTheme="minorHAnsi" w:hAnsiTheme="minorHAnsi" w:cstheme="minorHAnsi"/>
          <w:sz w:val="24"/>
          <w:szCs w:val="24"/>
        </w:rPr>
        <w:t>with life-threatening, long-lasting or seriously disabling illnesses</w:t>
      </w:r>
    </w:p>
    <w:p w14:paraId="23D5DE2B" w14:textId="5AAF6C37" w:rsidR="00EB2CB0" w:rsidRPr="003D2373" w:rsidRDefault="09043040" w:rsidP="00D60FB3">
      <w:pPr>
        <w:numPr>
          <w:ilvl w:val="0"/>
          <w:numId w:val="1"/>
        </w:numPr>
        <w:spacing w:after="0" w:line="240" w:lineRule="auto"/>
        <w:ind w:left="1843"/>
        <w:jc w:val="both"/>
        <w:rPr>
          <w:rFonts w:asciiTheme="minorHAnsi" w:hAnsiTheme="minorHAnsi" w:cstheme="minorHAnsi"/>
          <w:sz w:val="24"/>
          <w:szCs w:val="24"/>
        </w:rPr>
      </w:pPr>
      <w:r w:rsidRPr="003D2373">
        <w:rPr>
          <w:rFonts w:asciiTheme="minorHAnsi" w:hAnsiTheme="minorHAnsi" w:cstheme="minorHAnsi"/>
          <w:sz w:val="24"/>
          <w:szCs w:val="24"/>
        </w:rPr>
        <w:t>who are seriously ill and who cannot be treated satisfactorily with licensed medicines, or who have a disease for which no medicine has yet been licensed</w:t>
      </w:r>
    </w:p>
    <w:p w14:paraId="5EB8EC10" w14:textId="77777777" w:rsidR="00EB2CB0" w:rsidRPr="003D2373" w:rsidRDefault="00EB2CB0" w:rsidP="00D60FB3">
      <w:pPr>
        <w:numPr>
          <w:ilvl w:val="0"/>
          <w:numId w:val="1"/>
        </w:numPr>
        <w:spacing w:after="0" w:line="240" w:lineRule="auto"/>
        <w:ind w:left="1843"/>
        <w:jc w:val="both"/>
        <w:rPr>
          <w:rFonts w:asciiTheme="minorHAnsi" w:hAnsiTheme="minorHAnsi" w:cstheme="minorBidi"/>
          <w:sz w:val="24"/>
          <w:szCs w:val="24"/>
        </w:rPr>
      </w:pPr>
      <w:r w:rsidRPr="31843FBB">
        <w:rPr>
          <w:rFonts w:asciiTheme="minorHAnsi" w:hAnsiTheme="minorHAnsi" w:cstheme="minorBidi"/>
          <w:sz w:val="24"/>
          <w:szCs w:val="24"/>
        </w:rPr>
        <w:t xml:space="preserve">that are not eligible for ongoing clinical trials </w:t>
      </w:r>
    </w:p>
    <w:p w14:paraId="774516D9" w14:textId="77777777" w:rsidR="00EB2CB0" w:rsidRPr="003D2373" w:rsidRDefault="00EB2CB0" w:rsidP="003D2373">
      <w:pPr>
        <w:pStyle w:val="BodyText"/>
        <w:jc w:val="left"/>
        <w:outlineLvl w:val="1"/>
        <w:rPr>
          <w:rFonts w:asciiTheme="minorHAnsi" w:hAnsiTheme="minorHAnsi" w:cstheme="minorHAnsi"/>
          <w:szCs w:val="24"/>
        </w:rPr>
      </w:pPr>
    </w:p>
    <w:p w14:paraId="308A7865" w14:textId="77777777" w:rsidR="00EB2CB0" w:rsidRPr="003D2373" w:rsidRDefault="00EB2CB0" w:rsidP="00D60FB3">
      <w:pPr>
        <w:pStyle w:val="BodyText"/>
        <w:numPr>
          <w:ilvl w:val="2"/>
          <w:numId w:val="3"/>
        </w:numPr>
        <w:jc w:val="left"/>
        <w:outlineLvl w:val="1"/>
        <w:rPr>
          <w:rFonts w:asciiTheme="minorHAnsi" w:hAnsiTheme="minorHAnsi" w:cstheme="minorHAnsi"/>
          <w:szCs w:val="24"/>
        </w:rPr>
      </w:pPr>
      <w:r w:rsidRPr="003D2373">
        <w:rPr>
          <w:rFonts w:asciiTheme="minorHAnsi" w:hAnsiTheme="minorHAnsi" w:cstheme="minorHAnsi"/>
          <w:szCs w:val="24"/>
        </w:rPr>
        <w:t>Expanded access programmes</w:t>
      </w:r>
    </w:p>
    <w:p w14:paraId="4B399461" w14:textId="77777777" w:rsidR="00EB2CB0" w:rsidRPr="003D2373" w:rsidRDefault="00EB2CB0" w:rsidP="003D2373">
      <w:pPr>
        <w:pStyle w:val="BodyText"/>
        <w:ind w:left="1418"/>
        <w:jc w:val="left"/>
        <w:outlineLvl w:val="1"/>
        <w:rPr>
          <w:rFonts w:asciiTheme="minorHAnsi" w:hAnsiTheme="minorHAnsi" w:cstheme="minorHAnsi"/>
          <w:b w:val="0"/>
          <w:szCs w:val="24"/>
        </w:rPr>
      </w:pPr>
      <w:r w:rsidRPr="003D2373">
        <w:rPr>
          <w:rFonts w:asciiTheme="minorHAnsi" w:hAnsiTheme="minorHAnsi" w:cstheme="minorHAnsi"/>
          <w:b w:val="0"/>
          <w:szCs w:val="24"/>
        </w:rPr>
        <w:t>Expanded access is essentially the same as compassionate use.</w:t>
      </w:r>
    </w:p>
    <w:p w14:paraId="57B27865" w14:textId="77777777" w:rsidR="00D71684" w:rsidRPr="003D2373" w:rsidRDefault="00D71684" w:rsidP="003D2373">
      <w:pPr>
        <w:pStyle w:val="BodyText"/>
        <w:ind w:left="1418"/>
        <w:jc w:val="left"/>
        <w:outlineLvl w:val="1"/>
        <w:rPr>
          <w:rFonts w:asciiTheme="minorHAnsi" w:hAnsiTheme="minorHAnsi" w:cstheme="minorHAnsi"/>
          <w:b w:val="0"/>
          <w:szCs w:val="24"/>
        </w:rPr>
      </w:pPr>
    </w:p>
    <w:p w14:paraId="7AFE3755" w14:textId="77777777" w:rsidR="00EB2CB0" w:rsidRPr="003D2373" w:rsidRDefault="00EB2CB0" w:rsidP="00D60FB3">
      <w:pPr>
        <w:pStyle w:val="BodyText"/>
        <w:numPr>
          <w:ilvl w:val="2"/>
          <w:numId w:val="3"/>
        </w:numPr>
        <w:jc w:val="left"/>
        <w:outlineLvl w:val="1"/>
        <w:rPr>
          <w:rFonts w:asciiTheme="minorHAnsi" w:hAnsiTheme="minorHAnsi" w:cstheme="minorHAnsi"/>
          <w:szCs w:val="24"/>
        </w:rPr>
      </w:pPr>
      <w:r w:rsidRPr="003D2373">
        <w:rPr>
          <w:rFonts w:asciiTheme="minorHAnsi" w:hAnsiTheme="minorHAnsi" w:cstheme="minorHAnsi"/>
          <w:szCs w:val="24"/>
        </w:rPr>
        <w:t>Named Patient Supply</w:t>
      </w:r>
    </w:p>
    <w:p w14:paraId="059DBFE1" w14:textId="576059BD" w:rsidR="00EB2CB0" w:rsidRPr="003D2373" w:rsidRDefault="00EB2CB0" w:rsidP="003D2373">
      <w:pPr>
        <w:pStyle w:val="BodyText"/>
        <w:ind w:left="1418"/>
        <w:jc w:val="left"/>
        <w:outlineLvl w:val="1"/>
        <w:rPr>
          <w:rFonts w:asciiTheme="minorHAnsi" w:hAnsiTheme="minorHAnsi" w:cstheme="minorHAnsi"/>
          <w:b w:val="0"/>
          <w:szCs w:val="24"/>
        </w:rPr>
      </w:pPr>
      <w:r w:rsidRPr="003D2373">
        <w:rPr>
          <w:rFonts w:asciiTheme="minorHAnsi" w:hAnsiTheme="minorHAnsi" w:cstheme="minorHAnsi"/>
          <w:b w:val="0"/>
          <w:szCs w:val="24"/>
        </w:rPr>
        <w:t>Whereas compassionate use and expanded access programmes are instigated by a product manufacturer, named patient supply requests tend to be initiated by a prescriber making a direct approach to a manufacturer</w:t>
      </w:r>
      <w:r w:rsidR="00034271">
        <w:rPr>
          <w:rFonts w:asciiTheme="minorHAnsi" w:hAnsiTheme="minorHAnsi" w:cstheme="minorHAnsi"/>
          <w:b w:val="0"/>
          <w:szCs w:val="24"/>
        </w:rPr>
        <w:t>.</w:t>
      </w:r>
      <w:r w:rsidRPr="003D2373">
        <w:rPr>
          <w:rFonts w:asciiTheme="minorHAnsi" w:hAnsiTheme="minorHAnsi" w:cstheme="minorHAnsi"/>
          <w:b w:val="0"/>
          <w:szCs w:val="24"/>
        </w:rPr>
        <w:t xml:space="preserve"> </w:t>
      </w:r>
    </w:p>
    <w:p w14:paraId="5CABB09E" w14:textId="77777777" w:rsidR="00D71684" w:rsidRPr="003D2373" w:rsidRDefault="00D71684" w:rsidP="003D2373">
      <w:pPr>
        <w:pStyle w:val="BodyText"/>
        <w:ind w:left="1418"/>
        <w:jc w:val="left"/>
        <w:outlineLvl w:val="1"/>
        <w:rPr>
          <w:rFonts w:asciiTheme="minorHAnsi" w:hAnsiTheme="minorHAnsi" w:cstheme="minorHAnsi"/>
          <w:b w:val="0"/>
          <w:szCs w:val="24"/>
        </w:rPr>
      </w:pPr>
    </w:p>
    <w:p w14:paraId="4CA7F33B" w14:textId="77777777" w:rsidR="00DF0A5A" w:rsidRDefault="00DF0A5A">
      <w:pPr>
        <w:spacing w:after="0" w:line="240" w:lineRule="auto"/>
        <w:rPr>
          <w:rFonts w:asciiTheme="minorHAnsi" w:eastAsia="Times New Roman" w:hAnsiTheme="minorHAnsi" w:cstheme="minorHAnsi"/>
          <w:b/>
          <w:sz w:val="24"/>
          <w:szCs w:val="24"/>
        </w:rPr>
      </w:pPr>
      <w:r>
        <w:rPr>
          <w:rFonts w:asciiTheme="minorHAnsi" w:hAnsiTheme="minorHAnsi" w:cstheme="minorHAnsi"/>
          <w:szCs w:val="24"/>
        </w:rPr>
        <w:br w:type="page"/>
      </w:r>
    </w:p>
    <w:p w14:paraId="0FD6C1EE" w14:textId="4B10555F" w:rsidR="00EB2CB0" w:rsidRPr="003D2373" w:rsidRDefault="00EB2CB0" w:rsidP="00D60FB3">
      <w:pPr>
        <w:pStyle w:val="BodyText"/>
        <w:numPr>
          <w:ilvl w:val="2"/>
          <w:numId w:val="3"/>
        </w:numPr>
        <w:jc w:val="left"/>
        <w:outlineLvl w:val="1"/>
        <w:rPr>
          <w:rFonts w:asciiTheme="minorHAnsi" w:hAnsiTheme="minorHAnsi" w:cstheme="minorHAnsi"/>
          <w:szCs w:val="24"/>
        </w:rPr>
      </w:pPr>
      <w:r w:rsidRPr="003D2373">
        <w:rPr>
          <w:rFonts w:asciiTheme="minorHAnsi" w:hAnsiTheme="minorHAnsi" w:cstheme="minorHAnsi"/>
          <w:szCs w:val="24"/>
        </w:rPr>
        <w:lastRenderedPageBreak/>
        <w:t>Early Access to Medicine Schemes (EAMS)</w:t>
      </w:r>
    </w:p>
    <w:p w14:paraId="3CDA7ADD" w14:textId="265F97D4" w:rsidR="00EB2CB0" w:rsidRPr="003D2373" w:rsidRDefault="00EB2CB0" w:rsidP="31843FBB">
      <w:pPr>
        <w:pStyle w:val="BodyText"/>
        <w:ind w:left="1418"/>
        <w:jc w:val="left"/>
        <w:outlineLvl w:val="1"/>
        <w:rPr>
          <w:rFonts w:asciiTheme="minorHAnsi" w:hAnsiTheme="minorHAnsi" w:cstheme="minorBidi"/>
          <w:b w:val="0"/>
        </w:rPr>
      </w:pPr>
      <w:r w:rsidRPr="31843FBB">
        <w:rPr>
          <w:rFonts w:asciiTheme="minorHAnsi" w:hAnsiTheme="minorHAnsi" w:cstheme="minorBidi"/>
          <w:b w:val="0"/>
        </w:rPr>
        <w:t>EAMS are managed by the Medicines and Healthcare Products Regulatory Agency (MHRA) and aim to give patients with life-threatening or seriously debilitating conditions access to medicines that do not yet have a marketing authorisation when there is a clear unmet need.</w:t>
      </w:r>
    </w:p>
    <w:p w14:paraId="24A83AFE" w14:textId="78CDED35" w:rsidR="00EB2CB0" w:rsidRPr="003D2373" w:rsidRDefault="00EB2CB0" w:rsidP="549601FA">
      <w:pPr>
        <w:pStyle w:val="BodyText"/>
        <w:ind w:left="1418"/>
        <w:jc w:val="left"/>
        <w:outlineLvl w:val="1"/>
        <w:rPr>
          <w:rFonts w:asciiTheme="minorHAnsi" w:hAnsiTheme="minorHAnsi" w:cstheme="minorBidi"/>
          <w:b w:val="0"/>
        </w:rPr>
      </w:pPr>
      <w:r w:rsidRPr="292CD646">
        <w:rPr>
          <w:rFonts w:asciiTheme="minorHAnsi" w:hAnsiTheme="minorHAnsi" w:cstheme="minorBidi"/>
          <w:b w:val="0"/>
        </w:rPr>
        <w:t xml:space="preserve">EAMS are a formalised variant of an expanded access programme where the MHRA has carried out a risk: benefit assessment in the format of a Public Assessment Report. </w:t>
      </w:r>
      <w:r w:rsidRPr="00C35608">
        <w:rPr>
          <w:rFonts w:asciiTheme="minorHAnsi" w:hAnsiTheme="minorHAnsi" w:cstheme="minorBidi"/>
          <w:b w:val="0"/>
        </w:rPr>
        <w:t xml:space="preserve">Formal arrangements for patient monitoring and provision of data are agreed nationally, and in addition, the ADTC Collaborative within Healthcare Improvement Scotland </w:t>
      </w:r>
      <w:r w:rsidR="3DA30D61" w:rsidRPr="00C35608">
        <w:rPr>
          <w:rFonts w:asciiTheme="minorHAnsi" w:hAnsiTheme="minorHAnsi" w:cstheme="minorBidi"/>
          <w:b w:val="0"/>
        </w:rPr>
        <w:t xml:space="preserve">generally </w:t>
      </w:r>
      <w:r w:rsidRPr="00C35608">
        <w:rPr>
          <w:rFonts w:asciiTheme="minorHAnsi" w:hAnsiTheme="minorHAnsi" w:cstheme="minorBidi"/>
          <w:b w:val="0"/>
        </w:rPr>
        <w:t>provides operational guidance to inform healthcare professionals before they enter into an agreement.</w:t>
      </w:r>
    </w:p>
    <w:p w14:paraId="7B71EE80" w14:textId="77777777" w:rsidR="00D71684" w:rsidRPr="003D2373" w:rsidRDefault="00D71684" w:rsidP="003D2373">
      <w:pPr>
        <w:pStyle w:val="BodyText"/>
        <w:ind w:left="1418"/>
        <w:jc w:val="left"/>
        <w:outlineLvl w:val="1"/>
        <w:rPr>
          <w:rFonts w:asciiTheme="minorHAnsi" w:hAnsiTheme="minorHAnsi" w:cstheme="minorHAnsi"/>
          <w:b w:val="0"/>
          <w:szCs w:val="24"/>
        </w:rPr>
      </w:pPr>
    </w:p>
    <w:p w14:paraId="64EBD96B" w14:textId="77777777" w:rsidR="00EB2CB0" w:rsidRPr="003D2373" w:rsidRDefault="00EB2CB0" w:rsidP="00D60FB3">
      <w:pPr>
        <w:pStyle w:val="BodyText"/>
        <w:numPr>
          <w:ilvl w:val="1"/>
          <w:numId w:val="3"/>
        </w:numPr>
        <w:jc w:val="left"/>
        <w:outlineLvl w:val="1"/>
        <w:rPr>
          <w:rFonts w:asciiTheme="minorHAnsi" w:hAnsiTheme="minorHAnsi" w:cstheme="minorHAnsi"/>
          <w:szCs w:val="24"/>
        </w:rPr>
      </w:pPr>
      <w:r w:rsidRPr="003D2373">
        <w:rPr>
          <w:rFonts w:asciiTheme="minorHAnsi" w:hAnsiTheme="minorHAnsi" w:cstheme="minorHAnsi"/>
          <w:szCs w:val="24"/>
        </w:rPr>
        <w:t>Post-licence free of charge access schemes (FOC Schemes)</w:t>
      </w:r>
    </w:p>
    <w:p w14:paraId="1AAE592E" w14:textId="77777777" w:rsidR="00CC2335" w:rsidRPr="00CC2335" w:rsidRDefault="00EB2CB0" w:rsidP="00CC2335">
      <w:pPr>
        <w:pStyle w:val="BodyText"/>
        <w:ind w:left="1080"/>
        <w:jc w:val="left"/>
        <w:outlineLvl w:val="1"/>
        <w:rPr>
          <w:rFonts w:asciiTheme="minorHAnsi" w:hAnsiTheme="minorHAnsi" w:cstheme="minorHAnsi"/>
          <w:b w:val="0"/>
          <w:bCs/>
          <w:szCs w:val="24"/>
        </w:rPr>
      </w:pPr>
      <w:r w:rsidRPr="00CC2335">
        <w:rPr>
          <w:rFonts w:asciiTheme="minorHAnsi" w:hAnsiTheme="minorHAnsi" w:cstheme="minorHAnsi"/>
          <w:b w:val="0"/>
          <w:bCs/>
          <w:szCs w:val="24"/>
        </w:rPr>
        <w:t xml:space="preserve">These are schemes for medicines and indications that have marketing authorisation that offer medicines free-of-charge or for a small nominal fee up until the point of SMC assessment and in some cases, </w:t>
      </w:r>
      <w:r w:rsidR="3DD573BD" w:rsidRPr="00CC2335">
        <w:rPr>
          <w:rFonts w:asciiTheme="minorHAnsi" w:hAnsiTheme="minorHAnsi" w:cstheme="minorHAnsi"/>
          <w:b w:val="0"/>
          <w:bCs/>
          <w:szCs w:val="24"/>
        </w:rPr>
        <w:t>after acceptance by SMC</w:t>
      </w:r>
      <w:r w:rsidRPr="00CC2335">
        <w:rPr>
          <w:rFonts w:asciiTheme="minorHAnsi" w:hAnsiTheme="minorHAnsi" w:cstheme="minorHAnsi"/>
          <w:b w:val="0"/>
          <w:bCs/>
          <w:szCs w:val="24"/>
        </w:rPr>
        <w:t xml:space="preserve">.  Unlike EAMS, these medicines have not been identified by the MHRA as providing significant advantage over existing treatments for serious or </w:t>
      </w:r>
      <w:r w:rsidR="6079B6E5" w:rsidRPr="00CC2335">
        <w:rPr>
          <w:rFonts w:asciiTheme="minorHAnsi" w:hAnsiTheme="minorHAnsi" w:cstheme="minorHAnsi"/>
          <w:b w:val="0"/>
          <w:bCs/>
          <w:szCs w:val="24"/>
        </w:rPr>
        <w:t>life-threatening</w:t>
      </w:r>
      <w:r w:rsidRPr="00CC2335">
        <w:rPr>
          <w:rFonts w:asciiTheme="minorHAnsi" w:hAnsiTheme="minorHAnsi" w:cstheme="minorHAnsi"/>
          <w:b w:val="0"/>
          <w:bCs/>
          <w:szCs w:val="24"/>
        </w:rPr>
        <w:t xml:space="preserve"> conditions</w:t>
      </w:r>
      <w:r w:rsidR="004D3084" w:rsidRPr="00CC2335">
        <w:rPr>
          <w:rFonts w:asciiTheme="minorHAnsi" w:hAnsiTheme="minorHAnsi" w:cstheme="minorHAnsi"/>
          <w:b w:val="0"/>
          <w:bCs/>
          <w:szCs w:val="24"/>
        </w:rPr>
        <w:t>.</w:t>
      </w:r>
    </w:p>
    <w:p w14:paraId="6FC4C948" w14:textId="77777777" w:rsidR="00CC2335" w:rsidRPr="00CC2335" w:rsidRDefault="00CC2335" w:rsidP="00CC2335">
      <w:pPr>
        <w:pStyle w:val="BodyText"/>
        <w:ind w:left="1080"/>
        <w:jc w:val="left"/>
        <w:outlineLvl w:val="1"/>
        <w:rPr>
          <w:rFonts w:asciiTheme="minorHAnsi" w:hAnsiTheme="minorHAnsi" w:cstheme="minorHAnsi"/>
          <w:szCs w:val="24"/>
          <w:highlight w:val="yellow"/>
        </w:rPr>
      </w:pPr>
    </w:p>
    <w:p w14:paraId="2B6D15C3" w14:textId="51508FED" w:rsidR="00972D41" w:rsidRPr="00386596" w:rsidRDefault="00972D41" w:rsidP="00D60FB3">
      <w:pPr>
        <w:pStyle w:val="BodyText"/>
        <w:numPr>
          <w:ilvl w:val="1"/>
          <w:numId w:val="3"/>
        </w:numPr>
        <w:jc w:val="left"/>
        <w:outlineLvl w:val="1"/>
        <w:rPr>
          <w:rFonts w:asciiTheme="minorHAnsi" w:hAnsiTheme="minorHAnsi" w:cstheme="minorHAnsi"/>
          <w:szCs w:val="24"/>
        </w:rPr>
      </w:pPr>
      <w:r w:rsidRPr="00386596">
        <w:rPr>
          <w:rFonts w:asciiTheme="minorHAnsi" w:hAnsiTheme="minorHAnsi" w:cstheme="minorHAnsi"/>
          <w:szCs w:val="24"/>
        </w:rPr>
        <w:t xml:space="preserve">Post-Clinical Trial free of charge access schemes </w:t>
      </w:r>
    </w:p>
    <w:p w14:paraId="12E8A9F1" w14:textId="0D88F502" w:rsidR="00972D41" w:rsidRDefault="00972D41" w:rsidP="00CC2335">
      <w:pPr>
        <w:spacing w:line="240" w:lineRule="auto"/>
        <w:ind w:left="1080"/>
        <w:jc w:val="both"/>
        <w:rPr>
          <w:rFonts w:asciiTheme="minorHAnsi" w:hAnsiTheme="minorHAnsi" w:cstheme="minorHAnsi"/>
          <w:sz w:val="24"/>
          <w:szCs w:val="24"/>
        </w:rPr>
      </w:pPr>
      <w:r w:rsidRPr="00386596">
        <w:rPr>
          <w:rFonts w:asciiTheme="minorHAnsi" w:hAnsiTheme="minorHAnsi" w:cstheme="minorHAnsi"/>
          <w:sz w:val="24"/>
          <w:szCs w:val="24"/>
        </w:rPr>
        <w:t xml:space="preserve">On occasion participants of clinical trials may be offered access to a </w:t>
      </w:r>
      <w:r w:rsidR="00DB6B6E" w:rsidRPr="00386596">
        <w:rPr>
          <w:rFonts w:asciiTheme="minorHAnsi" w:hAnsiTheme="minorHAnsi" w:cstheme="minorHAnsi"/>
          <w:sz w:val="24"/>
          <w:szCs w:val="24"/>
        </w:rPr>
        <w:t>medicine at the e</w:t>
      </w:r>
      <w:r w:rsidR="00BD4254" w:rsidRPr="00386596">
        <w:rPr>
          <w:rFonts w:asciiTheme="minorHAnsi" w:hAnsiTheme="minorHAnsi" w:cstheme="minorHAnsi"/>
          <w:sz w:val="24"/>
          <w:szCs w:val="24"/>
        </w:rPr>
        <w:t>n</w:t>
      </w:r>
      <w:r w:rsidR="00DB6B6E" w:rsidRPr="00386596">
        <w:rPr>
          <w:rFonts w:asciiTheme="minorHAnsi" w:hAnsiTheme="minorHAnsi" w:cstheme="minorHAnsi"/>
          <w:sz w:val="24"/>
          <w:szCs w:val="24"/>
        </w:rPr>
        <w:t xml:space="preserve">d of the trial where there has been demonstrable clinical benefit </w:t>
      </w:r>
      <w:r w:rsidRPr="00386596">
        <w:rPr>
          <w:rFonts w:asciiTheme="minorHAnsi" w:hAnsiTheme="minorHAnsi" w:cstheme="minorHAnsi"/>
          <w:sz w:val="24"/>
          <w:szCs w:val="24"/>
        </w:rPr>
        <w:t xml:space="preserve">within the clinical trial.  These schemes can be called any of the above by the </w:t>
      </w:r>
      <w:r w:rsidR="00D60FB3" w:rsidRPr="00386596">
        <w:rPr>
          <w:rFonts w:asciiTheme="minorHAnsi" w:hAnsiTheme="minorHAnsi" w:cstheme="minorHAnsi"/>
          <w:sz w:val="24"/>
          <w:szCs w:val="24"/>
        </w:rPr>
        <w:t>S</w:t>
      </w:r>
      <w:r w:rsidRPr="00386596">
        <w:rPr>
          <w:rFonts w:asciiTheme="minorHAnsi" w:hAnsiTheme="minorHAnsi" w:cstheme="minorHAnsi"/>
          <w:sz w:val="24"/>
          <w:szCs w:val="24"/>
        </w:rPr>
        <w:t>ponsor/</w:t>
      </w:r>
      <w:r w:rsidR="00D60FB3" w:rsidRPr="00386596">
        <w:rPr>
          <w:rFonts w:asciiTheme="minorHAnsi" w:hAnsiTheme="minorHAnsi" w:cstheme="minorHAnsi"/>
          <w:sz w:val="24"/>
          <w:szCs w:val="24"/>
        </w:rPr>
        <w:t>M</w:t>
      </w:r>
      <w:r w:rsidRPr="00386596">
        <w:rPr>
          <w:rFonts w:asciiTheme="minorHAnsi" w:hAnsiTheme="minorHAnsi" w:cstheme="minorHAnsi"/>
          <w:sz w:val="24"/>
          <w:szCs w:val="24"/>
        </w:rPr>
        <w:t>anufacturer.  If the product is unlicensed</w:t>
      </w:r>
      <w:r w:rsidR="005F228B" w:rsidRPr="00386596">
        <w:rPr>
          <w:rFonts w:asciiTheme="minorHAnsi" w:hAnsiTheme="minorHAnsi" w:cstheme="minorHAnsi"/>
          <w:sz w:val="24"/>
          <w:szCs w:val="24"/>
        </w:rPr>
        <w:t>,</w:t>
      </w:r>
      <w:r w:rsidRPr="00386596">
        <w:rPr>
          <w:rFonts w:asciiTheme="minorHAnsi" w:hAnsiTheme="minorHAnsi" w:cstheme="minorHAnsi"/>
          <w:sz w:val="24"/>
          <w:szCs w:val="24"/>
        </w:rPr>
        <w:t xml:space="preserve"> the ULM process should be followed before any additional contracts are signed to enable the supply.  If the product is licensed but not SMC approved, the IPTR</w:t>
      </w:r>
      <w:r w:rsidR="00BD4254" w:rsidRPr="00386596">
        <w:rPr>
          <w:rFonts w:asciiTheme="minorHAnsi" w:hAnsiTheme="minorHAnsi" w:cstheme="minorHAnsi"/>
          <w:sz w:val="24"/>
          <w:szCs w:val="24"/>
        </w:rPr>
        <w:t xml:space="preserve"> or PACS2</w:t>
      </w:r>
      <w:r w:rsidRPr="00386596">
        <w:rPr>
          <w:rFonts w:asciiTheme="minorHAnsi" w:hAnsiTheme="minorHAnsi" w:cstheme="minorHAnsi"/>
          <w:sz w:val="24"/>
          <w:szCs w:val="24"/>
        </w:rPr>
        <w:t xml:space="preserve"> process must be followed in advance of signing of any additional contracts to enable the supply.  These arrangements are often for a fixed term and </w:t>
      </w:r>
      <w:r w:rsidR="00386596" w:rsidRPr="00386596">
        <w:rPr>
          <w:rFonts w:asciiTheme="minorHAnsi" w:hAnsiTheme="minorHAnsi" w:cstheme="minorHAnsi"/>
          <w:sz w:val="24"/>
          <w:szCs w:val="24"/>
        </w:rPr>
        <w:t xml:space="preserve">at the outset </w:t>
      </w:r>
      <w:r w:rsidRPr="00386596">
        <w:rPr>
          <w:rFonts w:asciiTheme="minorHAnsi" w:hAnsiTheme="minorHAnsi" w:cstheme="minorHAnsi"/>
          <w:sz w:val="24"/>
          <w:szCs w:val="24"/>
        </w:rPr>
        <w:t>the overall exit strategy must be considered for when the post-trial access ends</w:t>
      </w:r>
      <w:r w:rsidR="00386596">
        <w:rPr>
          <w:rFonts w:asciiTheme="minorHAnsi" w:hAnsiTheme="minorHAnsi" w:cstheme="minorHAnsi"/>
          <w:sz w:val="24"/>
          <w:szCs w:val="24"/>
        </w:rPr>
        <w:t>.</w:t>
      </w:r>
    </w:p>
    <w:p w14:paraId="00435725" w14:textId="77777777" w:rsidR="0055530C" w:rsidRDefault="0055530C" w:rsidP="003D2373">
      <w:pPr>
        <w:spacing w:line="240" w:lineRule="auto"/>
        <w:jc w:val="both"/>
        <w:rPr>
          <w:rFonts w:asciiTheme="minorHAnsi" w:hAnsiTheme="minorHAnsi" w:cstheme="minorHAnsi"/>
          <w:sz w:val="24"/>
          <w:szCs w:val="24"/>
        </w:rPr>
      </w:pPr>
    </w:p>
    <w:p w14:paraId="3F4533A0" w14:textId="77777777" w:rsidR="00972D41" w:rsidRPr="003D2373" w:rsidRDefault="00972D41" w:rsidP="003D2373">
      <w:pPr>
        <w:spacing w:line="240" w:lineRule="auto"/>
        <w:jc w:val="both"/>
        <w:rPr>
          <w:rFonts w:asciiTheme="minorHAnsi" w:hAnsiTheme="minorHAnsi" w:cstheme="minorHAnsi"/>
          <w:sz w:val="24"/>
          <w:szCs w:val="24"/>
        </w:rPr>
      </w:pPr>
    </w:p>
    <w:p w14:paraId="5CA1C249" w14:textId="1FECCC20" w:rsidR="00EB2CB0" w:rsidRPr="003D2373" w:rsidRDefault="63E1E5C7"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 xml:space="preserve">General </w:t>
      </w:r>
      <w:r w:rsidR="00EB2CB0" w:rsidRPr="003D2373">
        <w:rPr>
          <w:rFonts w:asciiTheme="minorHAnsi" w:hAnsiTheme="minorHAnsi" w:cstheme="minorHAnsi"/>
          <w:color w:val="1F497D"/>
          <w:szCs w:val="24"/>
        </w:rPr>
        <w:t>Principles</w:t>
      </w:r>
    </w:p>
    <w:p w14:paraId="705D9D61" w14:textId="77777777" w:rsidR="00D00726" w:rsidRDefault="001C759E" w:rsidP="00D60FB3">
      <w:pPr>
        <w:numPr>
          <w:ilvl w:val="0"/>
          <w:numId w:val="2"/>
        </w:numPr>
        <w:autoSpaceDE w:val="0"/>
        <w:autoSpaceDN w:val="0"/>
        <w:adjustRightInd w:val="0"/>
        <w:spacing w:line="240" w:lineRule="auto"/>
        <w:jc w:val="both"/>
        <w:rPr>
          <w:rFonts w:asciiTheme="minorHAnsi" w:hAnsiTheme="minorHAnsi" w:cstheme="minorBidi"/>
          <w:sz w:val="24"/>
          <w:szCs w:val="24"/>
        </w:rPr>
      </w:pPr>
      <w:r w:rsidRPr="00C35608">
        <w:rPr>
          <w:rFonts w:asciiTheme="minorHAnsi" w:hAnsiTheme="minorHAnsi" w:cstheme="minorBidi"/>
          <w:sz w:val="24"/>
          <w:szCs w:val="24"/>
        </w:rPr>
        <w:t>Where a medicines access scheme is being considered, f</w:t>
      </w:r>
      <w:r w:rsidR="00EB2CB0" w:rsidRPr="00C35608">
        <w:rPr>
          <w:rFonts w:asciiTheme="minorHAnsi" w:hAnsiTheme="minorHAnsi" w:cstheme="minorBidi"/>
          <w:sz w:val="24"/>
          <w:szCs w:val="24"/>
        </w:rPr>
        <w:t xml:space="preserve">ormal schemes that are endorsed for implementation in NHSScotland are preferable </w:t>
      </w:r>
      <w:r w:rsidR="1D27E656" w:rsidRPr="00C35608">
        <w:rPr>
          <w:rFonts w:asciiTheme="minorHAnsi" w:hAnsiTheme="minorHAnsi" w:cstheme="minorBidi"/>
          <w:sz w:val="24"/>
          <w:szCs w:val="24"/>
        </w:rPr>
        <w:t>and pharmaceu</w:t>
      </w:r>
      <w:r w:rsidR="23FD4564" w:rsidRPr="00C35608">
        <w:rPr>
          <w:rFonts w:asciiTheme="minorHAnsi" w:hAnsiTheme="minorHAnsi" w:cstheme="minorBidi"/>
          <w:sz w:val="24"/>
          <w:szCs w:val="24"/>
        </w:rPr>
        <w:t xml:space="preserve">tical </w:t>
      </w:r>
      <w:r w:rsidR="1D27E656" w:rsidRPr="00C35608">
        <w:rPr>
          <w:rFonts w:asciiTheme="minorHAnsi" w:hAnsiTheme="minorHAnsi" w:cstheme="minorBidi"/>
          <w:sz w:val="24"/>
          <w:szCs w:val="24"/>
        </w:rPr>
        <w:t xml:space="preserve">companies should be encouraged to engage with National Services Scotland </w:t>
      </w:r>
      <w:r w:rsidR="00D71684" w:rsidRPr="00C35608">
        <w:rPr>
          <w:rFonts w:asciiTheme="minorHAnsi" w:hAnsiTheme="minorHAnsi" w:cstheme="minorBidi"/>
          <w:sz w:val="24"/>
          <w:szCs w:val="24"/>
        </w:rPr>
        <w:t xml:space="preserve">or Healthcare Improvement Scotland (HIS) </w:t>
      </w:r>
      <w:r w:rsidR="1D27E656" w:rsidRPr="00C35608">
        <w:rPr>
          <w:rFonts w:asciiTheme="minorHAnsi" w:hAnsiTheme="minorHAnsi" w:cstheme="minorBidi"/>
          <w:sz w:val="24"/>
          <w:szCs w:val="24"/>
        </w:rPr>
        <w:t>to progress these</w:t>
      </w:r>
      <w:r w:rsidR="00EB2CB0" w:rsidRPr="00C35608">
        <w:rPr>
          <w:rFonts w:asciiTheme="minorHAnsi" w:hAnsiTheme="minorHAnsi" w:cstheme="minorBidi"/>
          <w:sz w:val="24"/>
          <w:szCs w:val="24"/>
        </w:rPr>
        <w:t xml:space="preserve">. These may include EAMS programmes where Scottish Operational Guidance has been produced by the </w:t>
      </w:r>
    </w:p>
    <w:p w14:paraId="7FC1C883" w14:textId="77777777" w:rsidR="00D00726" w:rsidRDefault="00D00726">
      <w:pPr>
        <w:spacing w:after="0" w:line="240" w:lineRule="auto"/>
        <w:rPr>
          <w:rFonts w:asciiTheme="minorHAnsi" w:hAnsiTheme="minorHAnsi" w:cstheme="minorBidi"/>
          <w:sz w:val="24"/>
          <w:szCs w:val="24"/>
        </w:rPr>
      </w:pPr>
      <w:r>
        <w:rPr>
          <w:rFonts w:asciiTheme="minorHAnsi" w:hAnsiTheme="minorHAnsi" w:cstheme="minorBidi"/>
          <w:sz w:val="24"/>
          <w:szCs w:val="24"/>
        </w:rPr>
        <w:br w:type="page"/>
      </w:r>
    </w:p>
    <w:p w14:paraId="44A74987" w14:textId="526B7704" w:rsidR="00EB2CB0" w:rsidRPr="00C35608" w:rsidRDefault="00EB2CB0" w:rsidP="00D60FB3">
      <w:pPr>
        <w:numPr>
          <w:ilvl w:val="0"/>
          <w:numId w:val="2"/>
        </w:numPr>
        <w:autoSpaceDE w:val="0"/>
        <w:autoSpaceDN w:val="0"/>
        <w:adjustRightInd w:val="0"/>
        <w:spacing w:line="240" w:lineRule="auto"/>
        <w:jc w:val="both"/>
        <w:rPr>
          <w:rFonts w:asciiTheme="minorHAnsi" w:hAnsiTheme="minorHAnsi" w:cstheme="minorBidi"/>
          <w:sz w:val="24"/>
          <w:szCs w:val="24"/>
        </w:rPr>
      </w:pPr>
      <w:r w:rsidRPr="00C35608">
        <w:rPr>
          <w:rFonts w:asciiTheme="minorHAnsi" w:hAnsiTheme="minorHAnsi" w:cstheme="minorBidi"/>
          <w:sz w:val="24"/>
          <w:szCs w:val="24"/>
        </w:rPr>
        <w:lastRenderedPageBreak/>
        <w:t>Area Drug and Therapeutics Committee Collaborative (ADTCC) and post-licence (pre-HTA) free-of-charge schemes that have been endorsed by National Procurement in accordance with national guidance.</w:t>
      </w:r>
    </w:p>
    <w:p w14:paraId="60BCA62B" w14:textId="5D098AB6" w:rsidR="00EB2CB0" w:rsidRPr="003D2373" w:rsidRDefault="5FF93F74" w:rsidP="00D60FB3">
      <w:pPr>
        <w:numPr>
          <w:ilvl w:val="0"/>
          <w:numId w:val="2"/>
        </w:numPr>
        <w:autoSpaceDE w:val="0"/>
        <w:autoSpaceDN w:val="0"/>
        <w:adjustRightInd w:val="0"/>
        <w:spacing w:line="240" w:lineRule="auto"/>
        <w:jc w:val="both"/>
        <w:rPr>
          <w:rFonts w:asciiTheme="minorHAnsi" w:hAnsiTheme="minorHAnsi" w:cstheme="minorBidi"/>
          <w:sz w:val="24"/>
          <w:szCs w:val="24"/>
        </w:rPr>
      </w:pPr>
      <w:r w:rsidRPr="0A1BB0B0">
        <w:rPr>
          <w:rFonts w:asciiTheme="minorHAnsi" w:hAnsiTheme="minorHAnsi" w:cstheme="minorBidi"/>
          <w:sz w:val="24"/>
          <w:szCs w:val="24"/>
        </w:rPr>
        <w:t xml:space="preserve">All schemes, whether nationally approved or not, </w:t>
      </w:r>
      <w:r w:rsidR="5BC035D0" w:rsidRPr="0A1BB0B0">
        <w:rPr>
          <w:rFonts w:asciiTheme="minorHAnsi" w:hAnsiTheme="minorHAnsi" w:cstheme="minorBidi"/>
          <w:sz w:val="24"/>
          <w:szCs w:val="24"/>
        </w:rPr>
        <w:t xml:space="preserve">must adhere to relevant local policies and processes </w:t>
      </w:r>
      <w:r w:rsidRPr="0A1BB0B0">
        <w:rPr>
          <w:rFonts w:asciiTheme="minorHAnsi" w:hAnsiTheme="minorHAnsi" w:cstheme="minorBidi"/>
          <w:sz w:val="24"/>
          <w:szCs w:val="24"/>
        </w:rPr>
        <w:t xml:space="preserve">e.g. </w:t>
      </w:r>
      <w:hyperlink r:id="rId11" w:history="1">
        <w:r w:rsidRPr="004A35DD">
          <w:rPr>
            <w:rStyle w:val="Hyperlink"/>
            <w:rFonts w:asciiTheme="minorHAnsi" w:hAnsiTheme="minorHAnsi" w:cstheme="minorBidi"/>
            <w:sz w:val="24"/>
            <w:szCs w:val="24"/>
          </w:rPr>
          <w:t>ULM, IPTR</w:t>
        </w:r>
        <w:r w:rsidR="1FC34D22" w:rsidRPr="004A35DD">
          <w:rPr>
            <w:rStyle w:val="Hyperlink"/>
            <w:rFonts w:asciiTheme="minorHAnsi" w:hAnsiTheme="minorHAnsi" w:cstheme="minorBidi"/>
            <w:sz w:val="24"/>
            <w:szCs w:val="24"/>
          </w:rPr>
          <w:t>, PACS2</w:t>
        </w:r>
      </w:hyperlink>
      <w:r w:rsidR="1FC34D22" w:rsidRPr="0A1BB0B0">
        <w:rPr>
          <w:rFonts w:asciiTheme="minorHAnsi" w:hAnsiTheme="minorHAnsi" w:cstheme="minorBidi"/>
          <w:sz w:val="24"/>
          <w:szCs w:val="24"/>
        </w:rPr>
        <w:t>.</w:t>
      </w:r>
      <w:r w:rsidR="00D71684" w:rsidRPr="0A1BB0B0">
        <w:rPr>
          <w:rFonts w:asciiTheme="minorHAnsi" w:hAnsiTheme="minorHAnsi" w:cstheme="minorBidi"/>
          <w:sz w:val="24"/>
          <w:szCs w:val="24"/>
        </w:rPr>
        <w:t xml:space="preserve">  </w:t>
      </w:r>
      <w:r w:rsidR="09043040" w:rsidRPr="0A1BB0B0">
        <w:rPr>
          <w:rFonts w:asciiTheme="minorHAnsi" w:hAnsiTheme="minorHAnsi" w:cstheme="minorBidi"/>
          <w:sz w:val="24"/>
          <w:szCs w:val="24"/>
        </w:rPr>
        <w:t xml:space="preserve">Any </w:t>
      </w:r>
      <w:r w:rsidR="2D8911C4" w:rsidRPr="0A1BB0B0">
        <w:rPr>
          <w:rFonts w:asciiTheme="minorHAnsi" w:hAnsiTheme="minorHAnsi" w:cstheme="minorBidi"/>
          <w:sz w:val="24"/>
          <w:szCs w:val="24"/>
        </w:rPr>
        <w:t>scheme that is not formally endorsed</w:t>
      </w:r>
      <w:r w:rsidR="004030A1" w:rsidRPr="0A1BB0B0">
        <w:rPr>
          <w:rFonts w:asciiTheme="minorHAnsi" w:hAnsiTheme="minorHAnsi" w:cstheme="minorBidi"/>
          <w:sz w:val="24"/>
          <w:szCs w:val="24"/>
        </w:rPr>
        <w:t xml:space="preserve"> at</w:t>
      </w:r>
      <w:r w:rsidR="2D8911C4" w:rsidRPr="0A1BB0B0">
        <w:rPr>
          <w:rFonts w:asciiTheme="minorHAnsi" w:hAnsiTheme="minorHAnsi" w:cstheme="minorBidi"/>
          <w:sz w:val="24"/>
          <w:szCs w:val="24"/>
        </w:rPr>
        <w:t xml:space="preserve"> a national level must be considered locally and approved prior to </w:t>
      </w:r>
      <w:r w:rsidR="4885FB9C" w:rsidRPr="0A1BB0B0">
        <w:rPr>
          <w:rFonts w:asciiTheme="minorHAnsi" w:hAnsiTheme="minorHAnsi" w:cstheme="minorBidi"/>
          <w:sz w:val="24"/>
          <w:szCs w:val="24"/>
        </w:rPr>
        <w:t>any commitment</w:t>
      </w:r>
      <w:r w:rsidR="2D8911C4" w:rsidRPr="0A1BB0B0">
        <w:rPr>
          <w:rFonts w:asciiTheme="minorHAnsi" w:hAnsiTheme="minorHAnsi" w:cstheme="minorBidi"/>
          <w:sz w:val="24"/>
          <w:szCs w:val="24"/>
        </w:rPr>
        <w:t xml:space="preserve">. </w:t>
      </w:r>
      <w:r w:rsidR="00D71684" w:rsidRPr="0A1BB0B0">
        <w:rPr>
          <w:rFonts w:asciiTheme="minorHAnsi" w:hAnsiTheme="minorHAnsi" w:cstheme="minorBidi"/>
          <w:sz w:val="24"/>
          <w:szCs w:val="24"/>
        </w:rPr>
        <w:t xml:space="preserve"> </w:t>
      </w:r>
      <w:r w:rsidR="2D8911C4" w:rsidRPr="0A1BB0B0">
        <w:rPr>
          <w:rFonts w:asciiTheme="minorHAnsi" w:hAnsiTheme="minorHAnsi" w:cstheme="minorBidi"/>
          <w:sz w:val="24"/>
          <w:szCs w:val="24"/>
        </w:rPr>
        <w:t xml:space="preserve">Who considers and approves these schemes will differ dependent on </w:t>
      </w:r>
      <w:r w:rsidR="4295BBD3" w:rsidRPr="0A1BB0B0">
        <w:rPr>
          <w:rFonts w:asciiTheme="minorHAnsi" w:hAnsiTheme="minorHAnsi" w:cstheme="minorBidi"/>
          <w:sz w:val="24"/>
          <w:szCs w:val="24"/>
        </w:rPr>
        <w:t xml:space="preserve">the setting </w:t>
      </w:r>
      <w:r w:rsidR="2D8911C4" w:rsidRPr="0A1BB0B0">
        <w:rPr>
          <w:rFonts w:asciiTheme="minorHAnsi" w:hAnsiTheme="minorHAnsi" w:cstheme="minorBidi"/>
          <w:sz w:val="24"/>
          <w:szCs w:val="24"/>
        </w:rPr>
        <w:t xml:space="preserve">where the </w:t>
      </w:r>
      <w:r w:rsidR="4295BBD3" w:rsidRPr="0A1BB0B0">
        <w:rPr>
          <w:rFonts w:asciiTheme="minorHAnsi" w:hAnsiTheme="minorHAnsi" w:cstheme="minorBidi"/>
          <w:sz w:val="24"/>
          <w:szCs w:val="24"/>
        </w:rPr>
        <w:t>medicine is intended to be used, the type of scheme and the operational and financial aspects</w:t>
      </w:r>
      <w:r w:rsidR="4992E4F6" w:rsidRPr="0A1BB0B0">
        <w:rPr>
          <w:rFonts w:asciiTheme="minorHAnsi" w:hAnsiTheme="minorHAnsi" w:cstheme="minorBidi"/>
          <w:sz w:val="24"/>
          <w:szCs w:val="24"/>
        </w:rPr>
        <w:t>.</w:t>
      </w:r>
    </w:p>
    <w:p w14:paraId="5B256FAF" w14:textId="4F90EDF3" w:rsidR="00C81438" w:rsidRPr="003D2373" w:rsidRDefault="2FE1F07F" w:rsidP="00D60FB3">
      <w:pPr>
        <w:numPr>
          <w:ilvl w:val="0"/>
          <w:numId w:val="2"/>
        </w:numPr>
        <w:autoSpaceDE w:val="0"/>
        <w:autoSpaceDN w:val="0"/>
        <w:adjustRightInd w:val="0"/>
        <w:spacing w:line="240" w:lineRule="auto"/>
        <w:jc w:val="both"/>
        <w:rPr>
          <w:rFonts w:asciiTheme="minorHAnsi" w:eastAsia="Tahoma" w:hAnsiTheme="minorHAnsi" w:cstheme="minorHAnsi"/>
          <w:sz w:val="24"/>
          <w:szCs w:val="24"/>
        </w:rPr>
      </w:pPr>
      <w:r w:rsidRPr="003D2373">
        <w:rPr>
          <w:rFonts w:asciiTheme="minorHAnsi" w:hAnsiTheme="minorHAnsi" w:cstheme="minorHAnsi"/>
          <w:sz w:val="24"/>
          <w:szCs w:val="24"/>
        </w:rPr>
        <w:t>The relevant specialty should determine the most suitable approach for consideration of such schemes within the principles outlined within this policy.  E</w:t>
      </w:r>
      <w:r w:rsidR="004812E3" w:rsidRPr="003D2373">
        <w:rPr>
          <w:rFonts w:asciiTheme="minorHAnsi" w:hAnsiTheme="minorHAnsi" w:cstheme="minorHAnsi"/>
          <w:sz w:val="24"/>
          <w:szCs w:val="24"/>
        </w:rPr>
        <w:t xml:space="preserve">xamples of groups and individuals who may be </w:t>
      </w:r>
      <w:r w:rsidR="601A10A9" w:rsidRPr="003D2373">
        <w:rPr>
          <w:rFonts w:asciiTheme="minorHAnsi" w:hAnsiTheme="minorHAnsi" w:cstheme="minorHAnsi"/>
          <w:sz w:val="24"/>
          <w:szCs w:val="24"/>
        </w:rPr>
        <w:t>involved</w:t>
      </w:r>
      <w:r w:rsidR="004812E3" w:rsidRPr="003D2373">
        <w:rPr>
          <w:rFonts w:asciiTheme="minorHAnsi" w:hAnsiTheme="minorHAnsi" w:cstheme="minorHAnsi"/>
          <w:sz w:val="24"/>
          <w:szCs w:val="24"/>
        </w:rPr>
        <w:t xml:space="preserve"> includes:</w:t>
      </w:r>
    </w:p>
    <w:p w14:paraId="08B2090A" w14:textId="20B7CCA8" w:rsidR="004812E3" w:rsidRPr="003D2373" w:rsidRDefault="004812E3" w:rsidP="00D60FB3">
      <w:pPr>
        <w:pStyle w:val="ListParagraph"/>
        <w:numPr>
          <w:ilvl w:val="0"/>
          <w:numId w:val="4"/>
        </w:numPr>
        <w:autoSpaceDE w:val="0"/>
        <w:autoSpaceDN w:val="0"/>
        <w:adjustRightInd w:val="0"/>
        <w:jc w:val="both"/>
        <w:rPr>
          <w:rFonts w:asciiTheme="minorHAnsi" w:eastAsia="Tahoma" w:hAnsiTheme="minorHAnsi" w:cstheme="minorHAnsi"/>
        </w:rPr>
      </w:pPr>
      <w:r w:rsidRPr="003D2373">
        <w:rPr>
          <w:rFonts w:asciiTheme="minorHAnsi" w:hAnsiTheme="minorHAnsi" w:cstheme="minorHAnsi"/>
        </w:rPr>
        <w:t>Clinical Directors</w:t>
      </w:r>
    </w:p>
    <w:p w14:paraId="2A1C74C1" w14:textId="5097EA83" w:rsidR="004812E3" w:rsidRPr="003D2373" w:rsidRDefault="004812E3" w:rsidP="00D60FB3">
      <w:pPr>
        <w:pStyle w:val="ListParagraph"/>
        <w:numPr>
          <w:ilvl w:val="0"/>
          <w:numId w:val="4"/>
        </w:numPr>
        <w:autoSpaceDE w:val="0"/>
        <w:autoSpaceDN w:val="0"/>
        <w:adjustRightInd w:val="0"/>
        <w:jc w:val="both"/>
        <w:rPr>
          <w:rFonts w:asciiTheme="minorHAnsi" w:eastAsia="Tahoma" w:hAnsiTheme="minorHAnsi" w:cstheme="minorHAnsi"/>
        </w:rPr>
      </w:pPr>
      <w:r w:rsidRPr="003D2373">
        <w:rPr>
          <w:rFonts w:asciiTheme="minorHAnsi" w:hAnsiTheme="minorHAnsi" w:cstheme="minorHAnsi"/>
        </w:rPr>
        <w:t>Chiefs of Medicine</w:t>
      </w:r>
    </w:p>
    <w:p w14:paraId="6E9B22EE" w14:textId="51FD3AD0" w:rsidR="004812E3" w:rsidRPr="003D2373" w:rsidRDefault="004812E3" w:rsidP="00D60FB3">
      <w:pPr>
        <w:pStyle w:val="ListParagraph"/>
        <w:numPr>
          <w:ilvl w:val="0"/>
          <w:numId w:val="4"/>
        </w:numPr>
        <w:autoSpaceDE w:val="0"/>
        <w:autoSpaceDN w:val="0"/>
        <w:adjustRightInd w:val="0"/>
        <w:jc w:val="both"/>
        <w:rPr>
          <w:rFonts w:asciiTheme="minorHAnsi" w:eastAsia="Tahoma" w:hAnsiTheme="minorHAnsi" w:cstheme="minorHAnsi"/>
        </w:rPr>
      </w:pPr>
      <w:r w:rsidRPr="003D2373">
        <w:rPr>
          <w:rFonts w:asciiTheme="minorHAnsi" w:hAnsiTheme="minorHAnsi" w:cstheme="minorHAnsi"/>
        </w:rPr>
        <w:t>Senior Pharmacist</w:t>
      </w:r>
      <w:r w:rsidR="1047ACCF" w:rsidRPr="003D2373">
        <w:rPr>
          <w:rFonts w:asciiTheme="minorHAnsi" w:hAnsiTheme="minorHAnsi" w:cstheme="minorHAnsi"/>
        </w:rPr>
        <w:t>s</w:t>
      </w:r>
      <w:r w:rsidRPr="003D2373">
        <w:rPr>
          <w:rFonts w:asciiTheme="minorHAnsi" w:hAnsiTheme="minorHAnsi" w:cstheme="minorHAnsi"/>
        </w:rPr>
        <w:t xml:space="preserve"> (e.g. Lead Clinical Pharmacist)</w:t>
      </w:r>
    </w:p>
    <w:p w14:paraId="259F7EC2" w14:textId="26E4C498" w:rsidR="004812E3" w:rsidRPr="003D2373" w:rsidRDefault="004812E3" w:rsidP="00D60FB3">
      <w:pPr>
        <w:pStyle w:val="ListParagraph"/>
        <w:numPr>
          <w:ilvl w:val="0"/>
          <w:numId w:val="4"/>
        </w:numPr>
        <w:autoSpaceDE w:val="0"/>
        <w:autoSpaceDN w:val="0"/>
        <w:adjustRightInd w:val="0"/>
        <w:jc w:val="both"/>
        <w:rPr>
          <w:rFonts w:asciiTheme="minorHAnsi" w:eastAsia="Tahoma" w:hAnsiTheme="minorHAnsi" w:cstheme="minorHAnsi"/>
        </w:rPr>
      </w:pPr>
      <w:r w:rsidRPr="003D2373">
        <w:rPr>
          <w:rFonts w:asciiTheme="minorHAnsi" w:hAnsiTheme="minorHAnsi" w:cstheme="minorHAnsi"/>
        </w:rPr>
        <w:t>General Managers</w:t>
      </w:r>
    </w:p>
    <w:p w14:paraId="25180E2E" w14:textId="0C4B8842" w:rsidR="004812E3" w:rsidRPr="003D2373" w:rsidRDefault="004812E3" w:rsidP="00D60FB3">
      <w:pPr>
        <w:pStyle w:val="ListParagraph"/>
        <w:numPr>
          <w:ilvl w:val="0"/>
          <w:numId w:val="4"/>
        </w:numPr>
        <w:autoSpaceDE w:val="0"/>
        <w:autoSpaceDN w:val="0"/>
        <w:adjustRightInd w:val="0"/>
        <w:jc w:val="both"/>
        <w:rPr>
          <w:rFonts w:asciiTheme="minorHAnsi" w:eastAsia="Tahoma" w:hAnsiTheme="minorHAnsi" w:cstheme="minorHAnsi"/>
        </w:rPr>
      </w:pPr>
      <w:r w:rsidRPr="003D2373">
        <w:rPr>
          <w:rFonts w:asciiTheme="minorHAnsi" w:hAnsiTheme="minorHAnsi" w:cstheme="minorHAnsi"/>
        </w:rPr>
        <w:t>Lead Clinicians for the speciality in question</w:t>
      </w:r>
    </w:p>
    <w:p w14:paraId="67C4BB7E" w14:textId="1CDDF198" w:rsidR="4C7784D3" w:rsidRPr="003D2373" w:rsidRDefault="4C7784D3" w:rsidP="00D60FB3">
      <w:pPr>
        <w:pStyle w:val="ListParagraph"/>
        <w:numPr>
          <w:ilvl w:val="0"/>
          <w:numId w:val="4"/>
        </w:numPr>
        <w:jc w:val="both"/>
        <w:rPr>
          <w:rFonts w:asciiTheme="minorHAnsi" w:eastAsia="Tahoma" w:hAnsiTheme="minorHAnsi" w:cstheme="minorHAnsi"/>
        </w:rPr>
      </w:pPr>
      <w:r w:rsidRPr="003D2373">
        <w:rPr>
          <w:rFonts w:asciiTheme="minorHAnsi" w:hAnsiTheme="minorHAnsi" w:cstheme="minorHAnsi"/>
        </w:rPr>
        <w:t>Pharmacy Distribution Centre (PDC) / Homecare Team</w:t>
      </w:r>
    </w:p>
    <w:p w14:paraId="66C7A5F5" w14:textId="13DFEC76" w:rsidR="31A56B10" w:rsidRPr="003D2373" w:rsidRDefault="31A56B10" w:rsidP="00D60FB3">
      <w:pPr>
        <w:pStyle w:val="ListParagraph"/>
        <w:numPr>
          <w:ilvl w:val="0"/>
          <w:numId w:val="4"/>
        </w:numPr>
        <w:jc w:val="both"/>
        <w:rPr>
          <w:rFonts w:asciiTheme="minorHAnsi" w:eastAsia="Tahoma" w:hAnsiTheme="minorHAnsi" w:cstheme="minorHAnsi"/>
        </w:rPr>
      </w:pPr>
      <w:r w:rsidRPr="003D2373">
        <w:rPr>
          <w:rFonts w:asciiTheme="minorHAnsi" w:hAnsiTheme="minorHAnsi" w:cstheme="minorHAnsi"/>
        </w:rPr>
        <w:t>Regional Cancer Prescribing Subgroup</w:t>
      </w:r>
    </w:p>
    <w:p w14:paraId="6BAA707F" w14:textId="4BFB7C90" w:rsidR="0EB39CAB" w:rsidRPr="003D2373" w:rsidRDefault="54D53C93" w:rsidP="00D60FB3">
      <w:pPr>
        <w:pStyle w:val="ListParagraph"/>
        <w:numPr>
          <w:ilvl w:val="0"/>
          <w:numId w:val="4"/>
        </w:numPr>
        <w:jc w:val="both"/>
        <w:rPr>
          <w:rFonts w:asciiTheme="minorHAnsi" w:eastAsia="Tahoma" w:hAnsiTheme="minorHAnsi" w:cstheme="minorHAnsi"/>
        </w:rPr>
      </w:pPr>
      <w:r w:rsidRPr="003D2373">
        <w:rPr>
          <w:rFonts w:asciiTheme="minorHAnsi" w:hAnsiTheme="minorHAnsi" w:cstheme="minorHAnsi"/>
        </w:rPr>
        <w:t>Acute Services Prescribing Management Group</w:t>
      </w:r>
    </w:p>
    <w:p w14:paraId="3FAC31B3" w14:textId="77777777" w:rsidR="00AF02E8" w:rsidRPr="003D2373" w:rsidRDefault="00AF02E8" w:rsidP="003D2373">
      <w:pPr>
        <w:pStyle w:val="ListParagraph"/>
        <w:ind w:left="1440"/>
        <w:jc w:val="both"/>
        <w:rPr>
          <w:rFonts w:asciiTheme="minorHAnsi" w:eastAsia="Tahoma" w:hAnsiTheme="minorHAnsi" w:cstheme="minorHAnsi"/>
        </w:rPr>
      </w:pPr>
    </w:p>
    <w:p w14:paraId="4A25E45D" w14:textId="481B7D75" w:rsidR="001C759E" w:rsidRPr="003D2373" w:rsidRDefault="001C759E" w:rsidP="00D60FB3">
      <w:pPr>
        <w:numPr>
          <w:ilvl w:val="0"/>
          <w:numId w:val="2"/>
        </w:numPr>
        <w:autoSpaceDE w:val="0"/>
        <w:autoSpaceDN w:val="0"/>
        <w:adjustRightInd w:val="0"/>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Persons or groups </w:t>
      </w:r>
      <w:r w:rsidR="00600D32" w:rsidRPr="003D2373">
        <w:rPr>
          <w:rFonts w:asciiTheme="minorHAnsi" w:hAnsiTheme="minorHAnsi" w:cstheme="minorHAnsi"/>
          <w:sz w:val="24"/>
          <w:szCs w:val="24"/>
        </w:rPr>
        <w:t>evaluating</w:t>
      </w:r>
      <w:r w:rsidRPr="003D2373">
        <w:rPr>
          <w:rFonts w:asciiTheme="minorHAnsi" w:hAnsiTheme="minorHAnsi" w:cstheme="minorHAnsi"/>
          <w:sz w:val="24"/>
          <w:szCs w:val="24"/>
        </w:rPr>
        <w:t xml:space="preserve"> </w:t>
      </w:r>
      <w:r w:rsidR="00600D32" w:rsidRPr="003D2373">
        <w:rPr>
          <w:rFonts w:asciiTheme="minorHAnsi" w:hAnsiTheme="minorHAnsi" w:cstheme="minorHAnsi"/>
          <w:sz w:val="24"/>
          <w:szCs w:val="24"/>
        </w:rPr>
        <w:t xml:space="preserve">the suitability of schemes that are not formally endorsed should </w:t>
      </w:r>
      <w:r w:rsidR="00EE0E6E" w:rsidRPr="003D2373">
        <w:rPr>
          <w:rFonts w:asciiTheme="minorHAnsi" w:hAnsiTheme="minorHAnsi" w:cstheme="minorHAnsi"/>
          <w:sz w:val="24"/>
          <w:szCs w:val="24"/>
        </w:rPr>
        <w:t>consider the following</w:t>
      </w:r>
      <w:r w:rsidR="00600D32" w:rsidRPr="003D2373">
        <w:rPr>
          <w:rFonts w:asciiTheme="minorHAnsi" w:hAnsiTheme="minorHAnsi" w:cstheme="minorHAnsi"/>
          <w:sz w:val="24"/>
          <w:szCs w:val="24"/>
        </w:rPr>
        <w:t>:</w:t>
      </w:r>
    </w:p>
    <w:p w14:paraId="230E5B7E" w14:textId="0BC92D56" w:rsidR="00600D32" w:rsidRPr="003D2373" w:rsidRDefault="00EE0E6E" w:rsidP="00D60FB3">
      <w:pPr>
        <w:numPr>
          <w:ilvl w:val="1"/>
          <w:numId w:val="2"/>
        </w:numPr>
        <w:autoSpaceDE w:val="0"/>
        <w:autoSpaceDN w:val="0"/>
        <w:adjustRightInd w:val="0"/>
        <w:spacing w:line="240" w:lineRule="auto"/>
        <w:ind w:left="1134" w:hanging="708"/>
        <w:jc w:val="both"/>
        <w:rPr>
          <w:rFonts w:asciiTheme="minorHAnsi" w:hAnsiTheme="minorHAnsi" w:cstheme="minorHAnsi"/>
          <w:sz w:val="24"/>
          <w:szCs w:val="24"/>
        </w:rPr>
      </w:pPr>
      <w:r w:rsidRPr="003D2373">
        <w:rPr>
          <w:rFonts w:asciiTheme="minorHAnsi" w:hAnsiTheme="minorHAnsi" w:cstheme="minorHAnsi"/>
          <w:sz w:val="24"/>
          <w:szCs w:val="24"/>
        </w:rPr>
        <w:t xml:space="preserve">Are there </w:t>
      </w:r>
      <w:r w:rsidR="72FB0F3A" w:rsidRPr="003D2373">
        <w:rPr>
          <w:rFonts w:asciiTheme="minorHAnsi" w:hAnsiTheme="minorHAnsi" w:cstheme="minorHAnsi"/>
          <w:sz w:val="24"/>
          <w:szCs w:val="24"/>
        </w:rPr>
        <w:t xml:space="preserve">no </w:t>
      </w:r>
      <w:r w:rsidRPr="003D2373">
        <w:rPr>
          <w:rFonts w:asciiTheme="minorHAnsi" w:hAnsiTheme="minorHAnsi" w:cstheme="minorHAnsi"/>
          <w:sz w:val="24"/>
          <w:szCs w:val="24"/>
        </w:rPr>
        <w:t xml:space="preserve">viable licensed </w:t>
      </w:r>
      <w:r w:rsidR="30ED476D" w:rsidRPr="003D2373">
        <w:rPr>
          <w:rFonts w:asciiTheme="minorHAnsi" w:hAnsiTheme="minorHAnsi" w:cstheme="minorHAnsi"/>
          <w:sz w:val="24"/>
          <w:szCs w:val="24"/>
        </w:rPr>
        <w:t xml:space="preserve">and/or routinely available </w:t>
      </w:r>
      <w:r w:rsidRPr="003D2373">
        <w:rPr>
          <w:rFonts w:asciiTheme="minorHAnsi" w:hAnsiTheme="minorHAnsi" w:cstheme="minorHAnsi"/>
          <w:sz w:val="24"/>
          <w:szCs w:val="24"/>
        </w:rPr>
        <w:t>alternatives?</w:t>
      </w:r>
    </w:p>
    <w:p w14:paraId="675B94DA" w14:textId="2AD34710" w:rsidR="00EE0E6E" w:rsidRPr="003D2373" w:rsidRDefault="07E3D41E"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 xml:space="preserve">Are the </w:t>
      </w:r>
      <w:r w:rsidR="0853DAAA" w:rsidRPr="003D2373">
        <w:rPr>
          <w:rFonts w:asciiTheme="minorHAnsi" w:hAnsiTheme="minorHAnsi" w:cstheme="minorHAnsi"/>
          <w:sz w:val="24"/>
          <w:szCs w:val="24"/>
        </w:rPr>
        <w:t>contract terms</w:t>
      </w:r>
      <w:r w:rsidRPr="003D2373">
        <w:rPr>
          <w:rFonts w:asciiTheme="minorHAnsi" w:hAnsiTheme="minorHAnsi" w:cstheme="minorHAnsi"/>
          <w:sz w:val="24"/>
          <w:szCs w:val="24"/>
        </w:rPr>
        <w:t xml:space="preserve"> for the scheme reasonable, </w:t>
      </w:r>
      <w:r w:rsidR="00AF02E8" w:rsidRPr="003D2373">
        <w:rPr>
          <w:rFonts w:asciiTheme="minorHAnsi" w:hAnsiTheme="minorHAnsi" w:cstheme="minorHAnsi"/>
          <w:sz w:val="24"/>
          <w:szCs w:val="24"/>
        </w:rPr>
        <w:t>including</w:t>
      </w:r>
      <w:r w:rsidR="15210772" w:rsidRPr="003D2373">
        <w:rPr>
          <w:rFonts w:asciiTheme="minorHAnsi" w:hAnsiTheme="minorHAnsi" w:cstheme="minorHAnsi"/>
          <w:sz w:val="24"/>
          <w:szCs w:val="24"/>
        </w:rPr>
        <w:t xml:space="preserve"> supply arrangements, associated costs</w:t>
      </w:r>
      <w:r w:rsidR="544C5EEC" w:rsidRPr="003D2373">
        <w:rPr>
          <w:rFonts w:asciiTheme="minorHAnsi" w:hAnsiTheme="minorHAnsi" w:cstheme="minorHAnsi"/>
          <w:sz w:val="24"/>
          <w:szCs w:val="24"/>
        </w:rPr>
        <w:t>*</w:t>
      </w:r>
      <w:r w:rsidR="15210772" w:rsidRPr="003D2373">
        <w:rPr>
          <w:rFonts w:asciiTheme="minorHAnsi" w:hAnsiTheme="minorHAnsi" w:cstheme="minorHAnsi"/>
          <w:sz w:val="24"/>
          <w:szCs w:val="24"/>
        </w:rPr>
        <w:t xml:space="preserve"> and </w:t>
      </w:r>
      <w:r w:rsidR="00EE0E6E" w:rsidRPr="003D2373">
        <w:rPr>
          <w:rFonts w:asciiTheme="minorHAnsi" w:hAnsiTheme="minorHAnsi" w:cstheme="minorHAnsi"/>
          <w:sz w:val="24"/>
          <w:szCs w:val="24"/>
        </w:rPr>
        <w:t xml:space="preserve">the conditions that apply upon </w:t>
      </w:r>
      <w:r w:rsidR="49B96D4B" w:rsidRPr="003D2373">
        <w:rPr>
          <w:rFonts w:asciiTheme="minorHAnsi" w:hAnsiTheme="minorHAnsi" w:cstheme="minorHAnsi"/>
          <w:sz w:val="24"/>
          <w:szCs w:val="24"/>
        </w:rPr>
        <w:t xml:space="preserve">closure of the scheme or </w:t>
      </w:r>
      <w:r w:rsidR="448458EB" w:rsidRPr="003D2373">
        <w:rPr>
          <w:rFonts w:asciiTheme="minorHAnsi" w:hAnsiTheme="minorHAnsi" w:cstheme="minorHAnsi"/>
          <w:sz w:val="24"/>
          <w:szCs w:val="24"/>
        </w:rPr>
        <w:t>following completion</w:t>
      </w:r>
      <w:r w:rsidR="49B96D4B" w:rsidRPr="003D2373">
        <w:rPr>
          <w:rFonts w:asciiTheme="minorHAnsi" w:hAnsiTheme="minorHAnsi" w:cstheme="minorHAnsi"/>
          <w:sz w:val="24"/>
          <w:szCs w:val="24"/>
        </w:rPr>
        <w:t xml:space="preserve"> of supply</w:t>
      </w:r>
      <w:r w:rsidR="00EE0E6E" w:rsidRPr="003D2373">
        <w:rPr>
          <w:rFonts w:asciiTheme="minorHAnsi" w:hAnsiTheme="minorHAnsi" w:cstheme="minorHAnsi"/>
          <w:sz w:val="24"/>
          <w:szCs w:val="24"/>
        </w:rPr>
        <w:t>?</w:t>
      </w:r>
      <w:r w:rsidR="5AB2F550" w:rsidRPr="003D2373">
        <w:rPr>
          <w:rFonts w:asciiTheme="minorHAnsi" w:hAnsiTheme="minorHAnsi" w:cstheme="minorHAnsi"/>
          <w:sz w:val="24"/>
          <w:szCs w:val="24"/>
        </w:rPr>
        <w:t xml:space="preserve">  </w:t>
      </w:r>
      <w:r w:rsidR="00AF02E8" w:rsidRPr="003D2373">
        <w:rPr>
          <w:rFonts w:asciiTheme="minorHAnsi" w:hAnsiTheme="minorHAnsi" w:cstheme="minorHAnsi"/>
          <w:sz w:val="24"/>
          <w:szCs w:val="24"/>
        </w:rPr>
        <w:t>(</w:t>
      </w:r>
      <w:r w:rsidR="5AB2F550" w:rsidRPr="003D2373">
        <w:rPr>
          <w:rFonts w:asciiTheme="minorHAnsi" w:hAnsiTheme="minorHAnsi" w:cstheme="minorHAnsi"/>
          <w:sz w:val="24"/>
          <w:szCs w:val="24"/>
        </w:rPr>
        <w:t>*The preference would be for any costs to be met or any agreed medicine costs to remain in place up until the point of licence and SMC acceptance.</w:t>
      </w:r>
      <w:r w:rsidR="00AF02E8" w:rsidRPr="003D2373">
        <w:rPr>
          <w:rFonts w:asciiTheme="minorHAnsi" w:hAnsiTheme="minorHAnsi" w:cstheme="minorHAnsi"/>
          <w:sz w:val="24"/>
          <w:szCs w:val="24"/>
        </w:rPr>
        <w:t>)</w:t>
      </w:r>
    </w:p>
    <w:p w14:paraId="19E906A9" w14:textId="377957EA" w:rsidR="0E81A0A1" w:rsidRPr="003D2373" w:rsidRDefault="0E81A0A1"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 xml:space="preserve">Does the use of the medicine require the co-administration of other medicines or devices or </w:t>
      </w:r>
      <w:r w:rsidR="62081A57" w:rsidRPr="003D2373">
        <w:rPr>
          <w:rFonts w:asciiTheme="minorHAnsi" w:hAnsiTheme="minorHAnsi" w:cstheme="minorHAnsi"/>
          <w:sz w:val="24"/>
          <w:szCs w:val="24"/>
        </w:rPr>
        <w:t xml:space="preserve">involve </w:t>
      </w:r>
      <w:r w:rsidR="1F506371" w:rsidRPr="003D2373">
        <w:rPr>
          <w:rFonts w:asciiTheme="minorHAnsi" w:hAnsiTheme="minorHAnsi" w:cstheme="minorHAnsi"/>
          <w:sz w:val="24"/>
          <w:szCs w:val="24"/>
        </w:rPr>
        <w:t xml:space="preserve">the need for </w:t>
      </w:r>
      <w:r w:rsidR="62081A57" w:rsidRPr="003D2373">
        <w:rPr>
          <w:rFonts w:asciiTheme="minorHAnsi" w:hAnsiTheme="minorHAnsi" w:cstheme="minorHAnsi"/>
          <w:sz w:val="24"/>
          <w:szCs w:val="24"/>
        </w:rPr>
        <w:t>additional</w:t>
      </w:r>
      <w:r w:rsidRPr="003D2373">
        <w:rPr>
          <w:rFonts w:asciiTheme="minorHAnsi" w:hAnsiTheme="minorHAnsi" w:cstheme="minorHAnsi"/>
          <w:sz w:val="24"/>
          <w:szCs w:val="24"/>
        </w:rPr>
        <w:t xml:space="preserve"> services or resources?</w:t>
      </w:r>
    </w:p>
    <w:p w14:paraId="167D8792" w14:textId="069125CF" w:rsidR="00EE0E6E" w:rsidRPr="003D2373" w:rsidRDefault="191C383A"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 xml:space="preserve">Is the </w:t>
      </w:r>
      <w:r w:rsidR="00AF02E8" w:rsidRPr="003D2373">
        <w:rPr>
          <w:rFonts w:asciiTheme="minorHAnsi" w:hAnsiTheme="minorHAnsi" w:cstheme="minorHAnsi"/>
          <w:sz w:val="24"/>
          <w:szCs w:val="24"/>
        </w:rPr>
        <w:t>workload,</w:t>
      </w:r>
      <w:r w:rsidR="00EE0E6E" w:rsidRPr="003D2373">
        <w:rPr>
          <w:rFonts w:asciiTheme="minorHAnsi" w:hAnsiTheme="minorHAnsi" w:cstheme="minorHAnsi"/>
          <w:sz w:val="24"/>
          <w:szCs w:val="24"/>
        </w:rPr>
        <w:t xml:space="preserve"> including administrative burden</w:t>
      </w:r>
      <w:r w:rsidR="7615B2EF" w:rsidRPr="003D2373">
        <w:rPr>
          <w:rFonts w:asciiTheme="minorHAnsi" w:hAnsiTheme="minorHAnsi" w:cstheme="minorHAnsi"/>
          <w:sz w:val="24"/>
          <w:szCs w:val="24"/>
        </w:rPr>
        <w:t xml:space="preserve">, </w:t>
      </w:r>
      <w:r w:rsidR="2C6BE037" w:rsidRPr="003D2373">
        <w:rPr>
          <w:rFonts w:asciiTheme="minorHAnsi" w:hAnsiTheme="minorHAnsi" w:cstheme="minorHAnsi"/>
          <w:sz w:val="24"/>
          <w:szCs w:val="24"/>
        </w:rPr>
        <w:t xml:space="preserve">reasonable </w:t>
      </w:r>
      <w:r w:rsidR="7615B2EF" w:rsidRPr="003D2373">
        <w:rPr>
          <w:rFonts w:asciiTheme="minorHAnsi" w:hAnsiTheme="minorHAnsi" w:cstheme="minorHAnsi"/>
          <w:sz w:val="24"/>
          <w:szCs w:val="24"/>
        </w:rPr>
        <w:t>and</w:t>
      </w:r>
      <w:r w:rsidR="107C6DFD" w:rsidRPr="003D2373">
        <w:rPr>
          <w:rFonts w:asciiTheme="minorHAnsi" w:hAnsiTheme="minorHAnsi" w:cstheme="minorHAnsi"/>
          <w:sz w:val="24"/>
          <w:szCs w:val="24"/>
        </w:rPr>
        <w:t xml:space="preserve"> </w:t>
      </w:r>
      <w:r w:rsidR="00AF02E8" w:rsidRPr="003D2373">
        <w:rPr>
          <w:rFonts w:asciiTheme="minorHAnsi" w:hAnsiTheme="minorHAnsi" w:cstheme="minorHAnsi"/>
          <w:sz w:val="24"/>
          <w:szCs w:val="24"/>
        </w:rPr>
        <w:t>manageable within</w:t>
      </w:r>
      <w:r w:rsidR="7615B2EF" w:rsidRPr="003D2373">
        <w:rPr>
          <w:rFonts w:asciiTheme="minorHAnsi" w:hAnsiTheme="minorHAnsi" w:cstheme="minorHAnsi"/>
          <w:sz w:val="24"/>
          <w:szCs w:val="24"/>
        </w:rPr>
        <w:t xml:space="preserve"> existing resources</w:t>
      </w:r>
      <w:r w:rsidR="00EE0E6E" w:rsidRPr="003D2373">
        <w:rPr>
          <w:rFonts w:asciiTheme="minorHAnsi" w:hAnsiTheme="minorHAnsi" w:cstheme="minorHAnsi"/>
          <w:sz w:val="24"/>
          <w:szCs w:val="24"/>
        </w:rPr>
        <w:t>?</w:t>
      </w:r>
    </w:p>
    <w:p w14:paraId="5839B257" w14:textId="29224F53" w:rsidR="5F4EC8AB" w:rsidRPr="003D2373" w:rsidRDefault="0A71D771"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Is the patient/ patient population for whom the medicine is being requested/proposed clearly defined?</w:t>
      </w:r>
    </w:p>
    <w:p w14:paraId="230A4978" w14:textId="5B0D0F30" w:rsidR="0AA13A19" w:rsidRPr="003D2373" w:rsidRDefault="0AA13A19"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If the scheme has been considered and not recommended at a national level, does the local situation justify a different outcome?</w:t>
      </w:r>
    </w:p>
    <w:p w14:paraId="20F6E7FC" w14:textId="056F9973" w:rsidR="58B41837" w:rsidRPr="003D2373" w:rsidRDefault="58B41837"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For unlicensed medicines, is there a clinical need to consider access to this medicine now or can access wait until the medicine in question is licensed and has been through due process?</w:t>
      </w:r>
    </w:p>
    <w:p w14:paraId="7FF3BBC8" w14:textId="04B80DD2" w:rsidR="58B41837" w:rsidRPr="003D2373" w:rsidRDefault="58B41837"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lastRenderedPageBreak/>
        <w:t>For pre-HTA medicines, is there a clinical need to consider access to this medicine now or can access wait until the medicine in question has been through due process?</w:t>
      </w:r>
    </w:p>
    <w:p w14:paraId="393002FE" w14:textId="1403C5B6" w:rsidR="552CC19D" w:rsidRPr="003D2373" w:rsidRDefault="552CC19D"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For post-HTA medicines, do the benefit</w:t>
      </w:r>
      <w:r w:rsidR="5EB85648" w:rsidRPr="003D2373">
        <w:rPr>
          <w:rFonts w:asciiTheme="minorHAnsi" w:hAnsiTheme="minorHAnsi" w:cstheme="minorHAnsi"/>
          <w:sz w:val="24"/>
          <w:szCs w:val="24"/>
        </w:rPr>
        <w:t>s</w:t>
      </w:r>
      <w:r w:rsidRPr="003D2373">
        <w:rPr>
          <w:rFonts w:asciiTheme="minorHAnsi" w:hAnsiTheme="minorHAnsi" w:cstheme="minorHAnsi"/>
          <w:sz w:val="24"/>
          <w:szCs w:val="24"/>
        </w:rPr>
        <w:t xml:space="preserve"> of implementing the scheme justify the administrative burde</w:t>
      </w:r>
      <w:r w:rsidR="01B534AD" w:rsidRPr="003D2373">
        <w:rPr>
          <w:rFonts w:asciiTheme="minorHAnsi" w:hAnsiTheme="minorHAnsi" w:cstheme="minorHAnsi"/>
          <w:sz w:val="24"/>
          <w:szCs w:val="24"/>
        </w:rPr>
        <w:t>n and w</w:t>
      </w:r>
      <w:r w:rsidRPr="003D2373">
        <w:rPr>
          <w:rFonts w:asciiTheme="minorHAnsi" w:hAnsiTheme="minorHAnsi" w:cstheme="minorHAnsi"/>
          <w:sz w:val="24"/>
          <w:szCs w:val="24"/>
        </w:rPr>
        <w:t xml:space="preserve">ill </w:t>
      </w:r>
      <w:r w:rsidR="2B99971C" w:rsidRPr="003D2373">
        <w:rPr>
          <w:rFonts w:asciiTheme="minorHAnsi" w:hAnsiTheme="minorHAnsi" w:cstheme="minorHAnsi"/>
          <w:sz w:val="24"/>
          <w:szCs w:val="24"/>
        </w:rPr>
        <w:t>this act</w:t>
      </w:r>
      <w:r w:rsidRPr="003D2373">
        <w:rPr>
          <w:rFonts w:asciiTheme="minorHAnsi" w:hAnsiTheme="minorHAnsi" w:cstheme="minorHAnsi"/>
          <w:sz w:val="24"/>
          <w:szCs w:val="24"/>
        </w:rPr>
        <w:t xml:space="preserve"> as an unacceptable incentive to prescribe?</w:t>
      </w:r>
    </w:p>
    <w:p w14:paraId="67C372B1" w14:textId="62C263C2" w:rsidR="177B2D4F" w:rsidRPr="003D2373" w:rsidRDefault="177B2D4F" w:rsidP="00D60FB3">
      <w:pPr>
        <w:numPr>
          <w:ilvl w:val="1"/>
          <w:numId w:val="2"/>
        </w:numPr>
        <w:autoSpaceDE w:val="0"/>
        <w:autoSpaceDN w:val="0"/>
        <w:adjustRightInd w:val="0"/>
        <w:spacing w:line="240" w:lineRule="auto"/>
        <w:ind w:left="1134" w:hanging="698"/>
        <w:jc w:val="both"/>
        <w:rPr>
          <w:rFonts w:asciiTheme="minorHAnsi" w:hAnsiTheme="minorHAnsi" w:cstheme="minorHAnsi"/>
          <w:sz w:val="24"/>
          <w:szCs w:val="24"/>
        </w:rPr>
      </w:pPr>
      <w:r w:rsidRPr="003D2373">
        <w:rPr>
          <w:rFonts w:asciiTheme="minorHAnsi" w:hAnsiTheme="minorHAnsi" w:cstheme="minorHAnsi"/>
          <w:sz w:val="24"/>
          <w:szCs w:val="24"/>
        </w:rPr>
        <w:t>Is there an ex</w:t>
      </w:r>
      <w:r w:rsidR="7C413B7F" w:rsidRPr="003D2373">
        <w:rPr>
          <w:rFonts w:asciiTheme="minorHAnsi" w:hAnsiTheme="minorHAnsi" w:cstheme="minorHAnsi"/>
          <w:sz w:val="24"/>
          <w:szCs w:val="24"/>
        </w:rPr>
        <w:t xml:space="preserve">pectation from the company to share patient data or information as part of the scheme?  </w:t>
      </w:r>
      <w:r w:rsidR="1215CAD1" w:rsidRPr="003D2373">
        <w:rPr>
          <w:rFonts w:asciiTheme="minorHAnsi" w:hAnsiTheme="minorHAnsi" w:cstheme="minorHAnsi"/>
          <w:sz w:val="24"/>
          <w:szCs w:val="24"/>
        </w:rPr>
        <w:t>If so, are the requirements clearly stated and reasonable?</w:t>
      </w:r>
    </w:p>
    <w:p w14:paraId="4C612754" w14:textId="1D206E24" w:rsidR="00C81438" w:rsidRPr="003D2373" w:rsidRDefault="00F31BEB" w:rsidP="00D60FB3">
      <w:pPr>
        <w:numPr>
          <w:ilvl w:val="0"/>
          <w:numId w:val="2"/>
        </w:numPr>
        <w:autoSpaceDE w:val="0"/>
        <w:autoSpaceDN w:val="0"/>
        <w:adjustRightInd w:val="0"/>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Pharmacy </w:t>
      </w:r>
      <w:r w:rsidR="00A81D0C" w:rsidRPr="003D2373">
        <w:rPr>
          <w:rFonts w:asciiTheme="minorHAnsi" w:hAnsiTheme="minorHAnsi" w:cstheme="minorHAnsi"/>
          <w:sz w:val="24"/>
          <w:szCs w:val="24"/>
        </w:rPr>
        <w:t>will</w:t>
      </w:r>
      <w:r w:rsidRPr="003D2373">
        <w:rPr>
          <w:rFonts w:asciiTheme="minorHAnsi" w:hAnsiTheme="minorHAnsi" w:cstheme="minorHAnsi"/>
          <w:sz w:val="24"/>
          <w:szCs w:val="24"/>
        </w:rPr>
        <w:t xml:space="preserve"> be involved in all situations when enrolment in a medicines access scheme </w:t>
      </w:r>
      <w:r w:rsidR="45A635CC" w:rsidRPr="003D2373">
        <w:rPr>
          <w:rFonts w:asciiTheme="minorHAnsi" w:hAnsiTheme="minorHAnsi" w:cstheme="minorHAnsi"/>
          <w:sz w:val="24"/>
          <w:szCs w:val="24"/>
        </w:rPr>
        <w:t>is</w:t>
      </w:r>
      <w:r w:rsidRPr="003D2373">
        <w:rPr>
          <w:rFonts w:asciiTheme="minorHAnsi" w:hAnsiTheme="minorHAnsi" w:cstheme="minorHAnsi"/>
          <w:sz w:val="24"/>
          <w:szCs w:val="24"/>
        </w:rPr>
        <w:t xml:space="preserve"> being considered as there is a requirement to ensure that all medicines use </w:t>
      </w:r>
      <w:r w:rsidR="63147974" w:rsidRPr="003D2373">
        <w:rPr>
          <w:rFonts w:asciiTheme="minorHAnsi" w:hAnsiTheme="minorHAnsi" w:cstheme="minorHAnsi"/>
          <w:sz w:val="24"/>
          <w:szCs w:val="24"/>
        </w:rPr>
        <w:t>is</w:t>
      </w:r>
      <w:r w:rsidRPr="003D2373">
        <w:rPr>
          <w:rFonts w:asciiTheme="minorHAnsi" w:hAnsiTheme="minorHAnsi" w:cstheme="minorHAnsi"/>
          <w:sz w:val="24"/>
          <w:szCs w:val="24"/>
        </w:rPr>
        <w:t xml:space="preserve"> subject to appropriate medicolegal operational aspects.  </w:t>
      </w:r>
      <w:r w:rsidR="7BFA293E" w:rsidRPr="003D2373">
        <w:rPr>
          <w:rFonts w:asciiTheme="minorHAnsi" w:hAnsiTheme="minorHAnsi" w:cstheme="minorHAnsi"/>
          <w:sz w:val="24"/>
          <w:szCs w:val="24"/>
        </w:rPr>
        <w:t>Typically,</w:t>
      </w:r>
      <w:r w:rsidRPr="003D2373">
        <w:rPr>
          <w:rFonts w:asciiTheme="minorHAnsi" w:hAnsiTheme="minorHAnsi" w:cstheme="minorHAnsi"/>
          <w:sz w:val="24"/>
          <w:szCs w:val="24"/>
        </w:rPr>
        <w:t xml:space="preserve"> both local pharmacy departments and the Pharmacy Distribution Centre (PDC) will be involved in enrolment.  </w:t>
      </w:r>
    </w:p>
    <w:p w14:paraId="28B5FE46" w14:textId="7F534434" w:rsidR="003823E9" w:rsidRPr="003D2373" w:rsidRDefault="003823E9" w:rsidP="00D60FB3">
      <w:pPr>
        <w:numPr>
          <w:ilvl w:val="0"/>
          <w:numId w:val="2"/>
        </w:numPr>
        <w:autoSpaceDE w:val="0"/>
        <w:autoSpaceDN w:val="0"/>
        <w:adjustRightInd w:val="0"/>
        <w:spacing w:line="240" w:lineRule="auto"/>
        <w:jc w:val="both"/>
        <w:rPr>
          <w:rFonts w:asciiTheme="minorHAnsi" w:eastAsia="Tahoma" w:hAnsiTheme="minorHAnsi" w:cstheme="minorHAnsi"/>
          <w:sz w:val="24"/>
          <w:szCs w:val="24"/>
        </w:rPr>
      </w:pPr>
      <w:r w:rsidRPr="003D2373">
        <w:rPr>
          <w:rFonts w:asciiTheme="minorHAnsi" w:hAnsiTheme="minorHAnsi" w:cstheme="minorHAnsi"/>
          <w:sz w:val="24"/>
          <w:szCs w:val="24"/>
        </w:rPr>
        <w:t xml:space="preserve">All medicines must be procured through the standard NHSGGC Pharmacy procurement systems and early communication with the Pharmacy Distribution Centre (PDC) Unlicensed Medicines Team is advised. </w:t>
      </w:r>
      <w:r w:rsidR="3406E4CA" w:rsidRPr="003D2373">
        <w:rPr>
          <w:rFonts w:asciiTheme="minorHAnsi" w:hAnsiTheme="minorHAnsi" w:cstheme="minorHAnsi"/>
          <w:sz w:val="24"/>
          <w:szCs w:val="24"/>
        </w:rPr>
        <w:t>The PDC will be the formal receipt area of any medicines obtained via such schemes.</w:t>
      </w:r>
      <w:r w:rsidRPr="003D2373">
        <w:rPr>
          <w:rFonts w:asciiTheme="minorHAnsi" w:hAnsiTheme="minorHAnsi" w:cstheme="minorHAnsi"/>
          <w:sz w:val="24"/>
          <w:szCs w:val="24"/>
        </w:rPr>
        <w:t xml:space="preserve"> Individual clinicians must not negotiate direct supplies to themselves or to their patients.</w:t>
      </w:r>
    </w:p>
    <w:p w14:paraId="3EDE6392" w14:textId="13B97914" w:rsidR="00230994" w:rsidRPr="003D2373" w:rsidRDefault="00230994" w:rsidP="00D60FB3">
      <w:pPr>
        <w:numPr>
          <w:ilvl w:val="0"/>
          <w:numId w:val="2"/>
        </w:numPr>
        <w:autoSpaceDE w:val="0"/>
        <w:autoSpaceDN w:val="0"/>
        <w:adjustRightInd w:val="0"/>
        <w:spacing w:line="240" w:lineRule="auto"/>
        <w:jc w:val="both"/>
        <w:rPr>
          <w:rStyle w:val="normaltextrun"/>
          <w:rFonts w:asciiTheme="minorHAnsi" w:hAnsiTheme="minorHAnsi" w:cstheme="minorHAnsi"/>
          <w:sz w:val="24"/>
          <w:szCs w:val="24"/>
        </w:rPr>
      </w:pPr>
      <w:r w:rsidRPr="003D2373">
        <w:rPr>
          <w:rFonts w:asciiTheme="minorHAnsi" w:hAnsiTheme="minorHAnsi" w:cstheme="minorHAnsi"/>
          <w:sz w:val="24"/>
          <w:szCs w:val="24"/>
        </w:rPr>
        <w:t xml:space="preserve">Where the scheme is to provide access to an unlicensed medicine, </w:t>
      </w:r>
      <w:r w:rsidR="00A81C59" w:rsidRPr="003D2373">
        <w:rPr>
          <w:rStyle w:val="normaltextrun"/>
          <w:rFonts w:asciiTheme="minorHAnsi" w:hAnsiTheme="minorHAnsi" w:cstheme="minorHAnsi"/>
          <w:color w:val="000000"/>
          <w:sz w:val="24"/>
          <w:szCs w:val="24"/>
          <w:shd w:val="clear" w:color="auto" w:fill="FFFFFF"/>
        </w:rPr>
        <w:t>the policy requirements for procurement, authorisation, supply and prescribing are as those described in the NHS</w:t>
      </w:r>
      <w:r w:rsidR="003E6AB7">
        <w:rPr>
          <w:rStyle w:val="normaltextrun"/>
          <w:rFonts w:asciiTheme="minorHAnsi" w:hAnsiTheme="minorHAnsi" w:cstheme="minorHAnsi"/>
          <w:color w:val="000000"/>
          <w:sz w:val="24"/>
          <w:szCs w:val="24"/>
          <w:shd w:val="clear" w:color="auto" w:fill="FFFFFF"/>
        </w:rPr>
        <w:t xml:space="preserve"> </w:t>
      </w:r>
      <w:r w:rsidR="00A81C59" w:rsidRPr="003D2373">
        <w:rPr>
          <w:rStyle w:val="normaltextrun"/>
          <w:rFonts w:asciiTheme="minorHAnsi" w:hAnsiTheme="minorHAnsi" w:cstheme="minorHAnsi"/>
          <w:color w:val="000000"/>
          <w:sz w:val="24"/>
          <w:szCs w:val="24"/>
          <w:shd w:val="clear" w:color="auto" w:fill="FFFFFF"/>
        </w:rPr>
        <w:t>GG</w:t>
      </w:r>
      <w:r w:rsidR="003E6AB7">
        <w:rPr>
          <w:rStyle w:val="normaltextrun"/>
          <w:rFonts w:asciiTheme="minorHAnsi" w:hAnsiTheme="minorHAnsi" w:cstheme="minorHAnsi"/>
          <w:color w:val="000000"/>
          <w:sz w:val="24"/>
          <w:szCs w:val="24"/>
          <w:shd w:val="clear" w:color="auto" w:fill="FFFFFF"/>
        </w:rPr>
        <w:t>&amp;</w:t>
      </w:r>
      <w:r w:rsidR="00A81C59" w:rsidRPr="003D2373">
        <w:rPr>
          <w:rStyle w:val="normaltextrun"/>
          <w:rFonts w:asciiTheme="minorHAnsi" w:hAnsiTheme="minorHAnsi" w:cstheme="minorHAnsi"/>
          <w:color w:val="000000"/>
          <w:sz w:val="24"/>
          <w:szCs w:val="24"/>
          <w:shd w:val="clear" w:color="auto" w:fill="FFFFFF"/>
        </w:rPr>
        <w:t xml:space="preserve">C </w:t>
      </w:r>
      <w:hyperlink r:id="rId12" w:history="1">
        <w:r w:rsidR="00A81C59" w:rsidRPr="003671A1">
          <w:rPr>
            <w:rStyle w:val="Hyperlink"/>
            <w:rFonts w:asciiTheme="minorHAnsi" w:hAnsiTheme="minorHAnsi" w:cstheme="minorHAnsi"/>
            <w:sz w:val="24"/>
            <w:szCs w:val="24"/>
            <w:shd w:val="clear" w:color="auto" w:fill="FFFFFF"/>
          </w:rPr>
          <w:t>Unlicensed Medicines Policy</w:t>
        </w:r>
      </w:hyperlink>
      <w:r w:rsidR="00A81C59" w:rsidRPr="003D2373">
        <w:rPr>
          <w:rStyle w:val="normaltextrun"/>
          <w:rFonts w:asciiTheme="minorHAnsi" w:hAnsiTheme="minorHAnsi" w:cstheme="minorHAnsi"/>
          <w:color w:val="000000"/>
          <w:sz w:val="24"/>
          <w:szCs w:val="24"/>
          <w:shd w:val="clear" w:color="auto" w:fill="FFFFFF"/>
        </w:rPr>
        <w:t xml:space="preserve">. </w:t>
      </w:r>
    </w:p>
    <w:p w14:paraId="1FFB6E4D" w14:textId="386C69BD" w:rsidR="006D74F8" w:rsidRPr="003D2373" w:rsidRDefault="006D74F8" w:rsidP="00D60FB3">
      <w:pPr>
        <w:numPr>
          <w:ilvl w:val="0"/>
          <w:numId w:val="2"/>
        </w:numPr>
        <w:autoSpaceDE w:val="0"/>
        <w:autoSpaceDN w:val="0"/>
        <w:adjustRightInd w:val="0"/>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Where the scheme is to provide access to a licensed medicine where the SMC has not yet published advice on use in NHS Scotland, </w:t>
      </w:r>
      <w:r w:rsidR="20D7093B" w:rsidRPr="003D2373">
        <w:rPr>
          <w:rFonts w:asciiTheme="minorHAnsi" w:hAnsiTheme="minorHAnsi" w:cstheme="minorHAnsi"/>
          <w:sz w:val="24"/>
          <w:szCs w:val="24"/>
        </w:rPr>
        <w:t>or use is outwith such adv</w:t>
      </w:r>
      <w:r w:rsidR="08C42D00" w:rsidRPr="003D2373">
        <w:rPr>
          <w:rFonts w:asciiTheme="minorHAnsi" w:hAnsiTheme="minorHAnsi" w:cstheme="minorHAnsi"/>
          <w:sz w:val="24"/>
          <w:szCs w:val="24"/>
        </w:rPr>
        <w:t xml:space="preserve">ice, </w:t>
      </w:r>
      <w:r w:rsidRPr="003D2373">
        <w:rPr>
          <w:rFonts w:asciiTheme="minorHAnsi" w:hAnsiTheme="minorHAnsi" w:cstheme="minorHAnsi"/>
          <w:sz w:val="24"/>
          <w:szCs w:val="24"/>
        </w:rPr>
        <w:t xml:space="preserve">the appropriate process (e.g. </w:t>
      </w:r>
      <w:hyperlink r:id="rId13" w:history="1">
        <w:r w:rsidRPr="006F779F">
          <w:rPr>
            <w:rStyle w:val="Hyperlink"/>
            <w:rFonts w:asciiTheme="minorHAnsi" w:hAnsiTheme="minorHAnsi" w:cstheme="minorHAnsi"/>
            <w:sz w:val="24"/>
            <w:szCs w:val="24"/>
          </w:rPr>
          <w:t xml:space="preserve">PACS2 </w:t>
        </w:r>
        <w:r w:rsidR="001F797E" w:rsidRPr="006F779F">
          <w:rPr>
            <w:rStyle w:val="Hyperlink"/>
            <w:rFonts w:asciiTheme="minorHAnsi" w:hAnsiTheme="minorHAnsi" w:cstheme="minorHAnsi"/>
            <w:sz w:val="24"/>
            <w:szCs w:val="24"/>
          </w:rPr>
          <w:t xml:space="preserve"> or IPTR</w:t>
        </w:r>
      </w:hyperlink>
      <w:r w:rsidRPr="003D2373">
        <w:rPr>
          <w:rFonts w:asciiTheme="minorHAnsi" w:hAnsiTheme="minorHAnsi" w:cstheme="minorHAnsi"/>
          <w:sz w:val="24"/>
          <w:szCs w:val="24"/>
        </w:rPr>
        <w:t>) will be followed prior to enrolment in the scheme.</w:t>
      </w:r>
    </w:p>
    <w:p w14:paraId="4850E830" w14:textId="32215266" w:rsidR="00B071C8" w:rsidRPr="003D2373" w:rsidRDefault="000070B5" w:rsidP="00D60FB3">
      <w:pPr>
        <w:numPr>
          <w:ilvl w:val="0"/>
          <w:numId w:val="2"/>
        </w:numPr>
        <w:autoSpaceDE w:val="0"/>
        <w:autoSpaceDN w:val="0"/>
        <w:adjustRightInd w:val="0"/>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Where access to a medicine via compassionate use or expanded access scheme ends following a Marketing Authorisation being granted, but the medicine has still not been considered by SMC, the appropriate process to allow continued access will be followed (e.g. </w:t>
      </w:r>
      <w:hyperlink r:id="rId14" w:history="1">
        <w:r w:rsidRPr="00784A8C">
          <w:rPr>
            <w:rStyle w:val="Hyperlink"/>
            <w:rFonts w:asciiTheme="minorHAnsi" w:hAnsiTheme="minorHAnsi" w:cstheme="minorHAnsi"/>
            <w:sz w:val="24"/>
            <w:szCs w:val="24"/>
          </w:rPr>
          <w:t xml:space="preserve">PACS2 or </w:t>
        </w:r>
        <w:r w:rsidR="00607437" w:rsidRPr="00784A8C">
          <w:rPr>
            <w:rStyle w:val="Hyperlink"/>
            <w:rFonts w:asciiTheme="minorHAnsi" w:hAnsiTheme="minorHAnsi" w:cstheme="minorHAnsi"/>
            <w:sz w:val="24"/>
            <w:szCs w:val="24"/>
          </w:rPr>
          <w:t>IPTR</w:t>
        </w:r>
      </w:hyperlink>
      <w:r w:rsidR="00A24B87">
        <w:rPr>
          <w:rFonts w:asciiTheme="minorHAnsi" w:hAnsiTheme="minorHAnsi" w:cstheme="minorHAnsi"/>
          <w:sz w:val="24"/>
          <w:szCs w:val="24"/>
        </w:rPr>
        <w:t xml:space="preserve"> </w:t>
      </w:r>
      <w:r w:rsidRPr="003D2373">
        <w:rPr>
          <w:rFonts w:asciiTheme="minorHAnsi" w:hAnsiTheme="minorHAnsi" w:cstheme="minorHAnsi"/>
          <w:sz w:val="24"/>
          <w:szCs w:val="24"/>
        </w:rPr>
        <w:t>).</w:t>
      </w:r>
    </w:p>
    <w:p w14:paraId="3C925582" w14:textId="308E89DF" w:rsidR="3E2E5E4B" w:rsidRPr="003D2373" w:rsidRDefault="3E2E5E4B" w:rsidP="00D60FB3">
      <w:pPr>
        <w:numPr>
          <w:ilvl w:val="0"/>
          <w:numId w:val="2"/>
        </w:numPr>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Consideration must be given </w:t>
      </w:r>
      <w:r w:rsidR="745790DF" w:rsidRPr="003D2373">
        <w:rPr>
          <w:rFonts w:asciiTheme="minorHAnsi" w:hAnsiTheme="minorHAnsi" w:cstheme="minorHAnsi"/>
          <w:sz w:val="24"/>
          <w:szCs w:val="24"/>
        </w:rPr>
        <w:t>to whether</w:t>
      </w:r>
      <w:r w:rsidRPr="003D2373">
        <w:rPr>
          <w:rFonts w:asciiTheme="minorHAnsi" w:hAnsiTheme="minorHAnsi" w:cstheme="minorHAnsi"/>
          <w:sz w:val="24"/>
          <w:szCs w:val="24"/>
        </w:rPr>
        <w:t xml:space="preserve"> </w:t>
      </w:r>
      <w:r w:rsidR="03787DDA" w:rsidRPr="003D2373">
        <w:rPr>
          <w:rFonts w:asciiTheme="minorHAnsi" w:hAnsiTheme="minorHAnsi" w:cstheme="minorHAnsi"/>
          <w:sz w:val="24"/>
          <w:szCs w:val="24"/>
        </w:rPr>
        <w:t>participation in the scheme</w:t>
      </w:r>
      <w:r w:rsidRPr="003D2373">
        <w:rPr>
          <w:rFonts w:asciiTheme="minorHAnsi" w:hAnsiTheme="minorHAnsi" w:cstheme="minorHAnsi"/>
          <w:sz w:val="24"/>
          <w:szCs w:val="24"/>
        </w:rPr>
        <w:t xml:space="preserve"> will set a precedent</w:t>
      </w:r>
      <w:r w:rsidR="20BB38A3" w:rsidRPr="003D2373">
        <w:rPr>
          <w:rFonts w:asciiTheme="minorHAnsi" w:hAnsiTheme="minorHAnsi" w:cstheme="minorHAnsi"/>
          <w:sz w:val="24"/>
          <w:szCs w:val="24"/>
        </w:rPr>
        <w:t>, either for an individual patient or for future patients.</w:t>
      </w:r>
      <w:r w:rsidR="2377E548" w:rsidRPr="003D2373">
        <w:rPr>
          <w:rFonts w:asciiTheme="minorHAnsi" w:hAnsiTheme="minorHAnsi" w:cstheme="minorHAnsi"/>
          <w:sz w:val="24"/>
          <w:szCs w:val="24"/>
        </w:rPr>
        <w:t xml:space="preserve">  This may include taking into account the potential scale of use for the medicine in question or number of patients who may be treated.</w:t>
      </w:r>
    </w:p>
    <w:p w14:paraId="6206ACED" w14:textId="77777777" w:rsidR="00174683" w:rsidRPr="003D2373" w:rsidRDefault="00174683" w:rsidP="003D2373">
      <w:pPr>
        <w:pStyle w:val="paragraph"/>
        <w:spacing w:before="0" w:beforeAutospacing="0" w:after="0" w:afterAutospacing="0"/>
        <w:ind w:left="360"/>
        <w:jc w:val="both"/>
        <w:textAlignment w:val="baseline"/>
        <w:rPr>
          <w:rFonts w:asciiTheme="minorHAnsi" w:hAnsiTheme="minorHAnsi" w:cstheme="minorHAnsi"/>
        </w:rPr>
      </w:pPr>
    </w:p>
    <w:p w14:paraId="3524FD9B" w14:textId="3B5B3CBA" w:rsidR="00174683" w:rsidRPr="003D2373" w:rsidRDefault="00174683"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Authorisation:</w:t>
      </w:r>
    </w:p>
    <w:p w14:paraId="4D91D22D" w14:textId="221BA605" w:rsidR="00174683" w:rsidRPr="003D2373" w:rsidRDefault="00174A79" w:rsidP="4F9894D1">
      <w:pPr>
        <w:pStyle w:val="paragraph"/>
        <w:spacing w:before="0" w:beforeAutospacing="0" w:after="0" w:afterAutospacing="0"/>
        <w:jc w:val="both"/>
        <w:rPr>
          <w:rFonts w:asciiTheme="minorHAnsi" w:hAnsiTheme="minorHAnsi" w:cstheme="minorBidi"/>
        </w:rPr>
      </w:pPr>
      <w:r w:rsidRPr="4F9894D1">
        <w:rPr>
          <w:rFonts w:asciiTheme="minorHAnsi" w:hAnsiTheme="minorHAnsi" w:cstheme="minorBidi"/>
        </w:rPr>
        <w:t xml:space="preserve">Recognising the potential for setting precedence for future use, formal initial authorisation for any access scheme that is not formally endorsed for implementation in NHSScotland will come from the relevant Chief of Medicines (COM).  </w:t>
      </w:r>
      <w:r w:rsidR="003D2373" w:rsidRPr="4F9894D1">
        <w:rPr>
          <w:rFonts w:asciiTheme="minorHAnsi" w:hAnsiTheme="minorHAnsi" w:cstheme="minorBidi"/>
        </w:rPr>
        <w:t xml:space="preserve">The exception to this is when the access scheme is </w:t>
      </w:r>
      <w:r w:rsidR="00DF0A5A" w:rsidRPr="4F9894D1">
        <w:rPr>
          <w:rFonts w:asciiTheme="minorHAnsi" w:hAnsiTheme="minorHAnsi" w:cstheme="minorBidi"/>
        </w:rPr>
        <w:t xml:space="preserve">for a </w:t>
      </w:r>
      <w:r w:rsidR="003D2373" w:rsidRPr="4F9894D1">
        <w:rPr>
          <w:rFonts w:asciiTheme="minorHAnsi" w:hAnsiTheme="minorHAnsi" w:cstheme="minorBidi"/>
        </w:rPr>
        <w:t xml:space="preserve">post-HTA </w:t>
      </w:r>
      <w:r w:rsidR="00DF0A5A" w:rsidRPr="4F9894D1">
        <w:rPr>
          <w:rFonts w:asciiTheme="minorHAnsi" w:hAnsiTheme="minorHAnsi" w:cstheme="minorBidi"/>
        </w:rPr>
        <w:t xml:space="preserve">licensed medicine </w:t>
      </w:r>
      <w:r w:rsidR="003D2373" w:rsidRPr="4F9894D1">
        <w:rPr>
          <w:rFonts w:asciiTheme="minorHAnsi" w:hAnsiTheme="minorHAnsi" w:cstheme="minorBidi"/>
        </w:rPr>
        <w:t>when authorisation from the</w:t>
      </w:r>
      <w:r w:rsidR="00297AF9">
        <w:rPr>
          <w:rFonts w:asciiTheme="minorHAnsi" w:hAnsiTheme="minorHAnsi" w:cstheme="minorBidi"/>
        </w:rPr>
        <w:t xml:space="preserve"> Clinical Services Manager (CSM</w:t>
      </w:r>
      <w:r w:rsidR="003D2373" w:rsidRPr="4F9894D1">
        <w:rPr>
          <w:rFonts w:asciiTheme="minorHAnsi" w:hAnsiTheme="minorHAnsi" w:cstheme="minorBidi"/>
        </w:rPr>
        <w:t xml:space="preserve">) or Clinical Director (CD) is considered sufficient. </w:t>
      </w:r>
      <w:r w:rsidRPr="4F9894D1">
        <w:rPr>
          <w:rFonts w:asciiTheme="minorHAnsi" w:hAnsiTheme="minorHAnsi" w:cstheme="minorBidi"/>
        </w:rPr>
        <w:t>In considering the initial authorisation, the COM</w:t>
      </w:r>
      <w:r w:rsidR="003D2373" w:rsidRPr="4F9894D1">
        <w:rPr>
          <w:rFonts w:asciiTheme="minorHAnsi" w:hAnsiTheme="minorHAnsi" w:cstheme="minorBidi"/>
        </w:rPr>
        <w:t>/CSM/CD</w:t>
      </w:r>
      <w:r w:rsidRPr="4F9894D1">
        <w:rPr>
          <w:rFonts w:asciiTheme="minorHAnsi" w:hAnsiTheme="minorHAnsi" w:cstheme="minorBidi"/>
        </w:rPr>
        <w:t xml:space="preserve"> will consult with an appropriate senior pharmacist, General Manager and Lead Clinician for the specialty where the medicine is intended to be used.</w:t>
      </w:r>
    </w:p>
    <w:p w14:paraId="5408F44A" w14:textId="77777777" w:rsidR="00174A79" w:rsidRPr="003D2373" w:rsidRDefault="00174A79" w:rsidP="003D2373">
      <w:pPr>
        <w:pStyle w:val="paragraph"/>
        <w:spacing w:before="0" w:beforeAutospacing="0" w:after="0" w:afterAutospacing="0"/>
        <w:jc w:val="both"/>
        <w:rPr>
          <w:rFonts w:asciiTheme="minorHAnsi" w:hAnsiTheme="minorHAnsi" w:cstheme="minorHAnsi"/>
        </w:rPr>
      </w:pPr>
    </w:p>
    <w:p w14:paraId="27DFC02E" w14:textId="2121D213" w:rsidR="00174A79" w:rsidRPr="003D2373" w:rsidRDefault="00174A79" w:rsidP="003D2373">
      <w:pPr>
        <w:pStyle w:val="paragraph"/>
        <w:spacing w:before="0" w:beforeAutospacing="0" w:after="0" w:afterAutospacing="0"/>
        <w:jc w:val="both"/>
        <w:rPr>
          <w:rFonts w:asciiTheme="minorHAnsi" w:hAnsiTheme="minorHAnsi" w:cstheme="minorHAnsi"/>
        </w:rPr>
      </w:pPr>
      <w:r w:rsidRPr="003D2373">
        <w:rPr>
          <w:rFonts w:asciiTheme="minorHAnsi" w:hAnsiTheme="minorHAnsi" w:cstheme="minorHAnsi"/>
        </w:rPr>
        <w:t>Following approval, the agreement with the pharmaceutical company can be signed and individual patient recruitment can commence.</w:t>
      </w:r>
    </w:p>
    <w:p w14:paraId="3770804A" w14:textId="77777777" w:rsidR="00174A79" w:rsidRPr="003D2373" w:rsidRDefault="00174A79" w:rsidP="003D2373">
      <w:pPr>
        <w:pStyle w:val="paragraph"/>
        <w:spacing w:before="0" w:beforeAutospacing="0" w:after="0" w:afterAutospacing="0"/>
        <w:jc w:val="both"/>
        <w:rPr>
          <w:rFonts w:asciiTheme="minorHAnsi" w:hAnsiTheme="minorHAnsi" w:cstheme="minorHAnsi"/>
        </w:rPr>
      </w:pPr>
    </w:p>
    <w:p w14:paraId="6383B123" w14:textId="323D7198" w:rsidR="00165D90" w:rsidRPr="003D2373" w:rsidRDefault="00165D90"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lastRenderedPageBreak/>
        <w:t xml:space="preserve">Specific </w:t>
      </w:r>
      <w:r w:rsidR="00D05D35" w:rsidRPr="003D2373">
        <w:rPr>
          <w:rFonts w:asciiTheme="minorHAnsi" w:hAnsiTheme="minorHAnsi" w:cstheme="minorHAnsi"/>
          <w:color w:val="1F497D"/>
          <w:szCs w:val="24"/>
        </w:rPr>
        <w:t>c</w:t>
      </w:r>
      <w:r w:rsidRPr="003D2373">
        <w:rPr>
          <w:rFonts w:asciiTheme="minorHAnsi" w:hAnsiTheme="minorHAnsi" w:cstheme="minorHAnsi"/>
          <w:color w:val="1F497D"/>
          <w:szCs w:val="24"/>
        </w:rPr>
        <w:t>onsiderations</w:t>
      </w:r>
      <w:r w:rsidR="00D901D6" w:rsidRPr="003D2373">
        <w:rPr>
          <w:rFonts w:asciiTheme="minorHAnsi" w:hAnsiTheme="minorHAnsi" w:cstheme="minorHAnsi"/>
          <w:color w:val="1F497D"/>
          <w:szCs w:val="24"/>
        </w:rPr>
        <w:t xml:space="preserve"> and required documentation</w:t>
      </w:r>
      <w:r w:rsidRPr="003D2373">
        <w:rPr>
          <w:rFonts w:asciiTheme="minorHAnsi" w:hAnsiTheme="minorHAnsi" w:cstheme="minorHAnsi"/>
          <w:color w:val="1F497D"/>
          <w:szCs w:val="24"/>
        </w:rPr>
        <w:t xml:space="preserve">: Endorsed </w:t>
      </w:r>
      <w:r w:rsidR="00D05D35" w:rsidRPr="003D2373">
        <w:rPr>
          <w:rFonts w:asciiTheme="minorHAnsi" w:hAnsiTheme="minorHAnsi" w:cstheme="minorHAnsi"/>
          <w:color w:val="1F497D"/>
          <w:szCs w:val="24"/>
        </w:rPr>
        <w:t>u</w:t>
      </w:r>
      <w:r w:rsidRPr="003D2373">
        <w:rPr>
          <w:rFonts w:asciiTheme="minorHAnsi" w:hAnsiTheme="minorHAnsi" w:cstheme="minorHAnsi"/>
          <w:color w:val="1F497D"/>
          <w:szCs w:val="24"/>
        </w:rPr>
        <w:t xml:space="preserve">nlicensed </w:t>
      </w:r>
      <w:r w:rsidR="00D05D35" w:rsidRPr="003D2373">
        <w:rPr>
          <w:rFonts w:asciiTheme="minorHAnsi" w:hAnsiTheme="minorHAnsi" w:cstheme="minorHAnsi"/>
          <w:color w:val="1F497D"/>
          <w:szCs w:val="24"/>
        </w:rPr>
        <w:t>m</w:t>
      </w:r>
      <w:r w:rsidRPr="003D2373">
        <w:rPr>
          <w:rFonts w:asciiTheme="minorHAnsi" w:hAnsiTheme="minorHAnsi" w:cstheme="minorHAnsi"/>
          <w:color w:val="1F497D"/>
          <w:szCs w:val="24"/>
        </w:rPr>
        <w:t xml:space="preserve">edicines </w:t>
      </w:r>
      <w:r w:rsidR="00D05D35" w:rsidRPr="003D2373">
        <w:rPr>
          <w:rFonts w:asciiTheme="minorHAnsi" w:hAnsiTheme="minorHAnsi" w:cstheme="minorHAnsi"/>
          <w:color w:val="1F497D"/>
          <w:szCs w:val="24"/>
        </w:rPr>
        <w:t>s</w:t>
      </w:r>
      <w:r w:rsidRPr="003D2373">
        <w:rPr>
          <w:rFonts w:asciiTheme="minorHAnsi" w:hAnsiTheme="minorHAnsi" w:cstheme="minorHAnsi"/>
          <w:color w:val="1F497D"/>
          <w:szCs w:val="24"/>
        </w:rPr>
        <w:t>chemes (e.g. EAMS)</w:t>
      </w:r>
    </w:p>
    <w:p w14:paraId="6188C21F" w14:textId="1493B206" w:rsidR="006208C9" w:rsidRPr="003D2373" w:rsidRDefault="00311BB5" w:rsidP="003D2373">
      <w:pPr>
        <w:pStyle w:val="paragraph"/>
        <w:spacing w:before="0" w:beforeAutospacing="0" w:after="0" w:afterAutospacing="0"/>
        <w:jc w:val="both"/>
        <w:textAlignment w:val="baseline"/>
        <w:rPr>
          <w:rFonts w:asciiTheme="minorHAnsi" w:hAnsiTheme="minorHAnsi" w:cstheme="minorHAnsi"/>
        </w:rPr>
      </w:pPr>
      <w:r w:rsidRPr="003D2373">
        <w:rPr>
          <w:rFonts w:asciiTheme="minorHAnsi" w:hAnsiTheme="minorHAnsi" w:cstheme="minorHAnsi"/>
        </w:rPr>
        <w:t xml:space="preserve">Healthcare Improvement Scotland, via the ADTC Collaborative </w:t>
      </w:r>
      <w:r w:rsidR="328DE487" w:rsidRPr="003D2373">
        <w:rPr>
          <w:rFonts w:asciiTheme="minorHAnsi" w:hAnsiTheme="minorHAnsi" w:cstheme="minorHAnsi"/>
        </w:rPr>
        <w:t xml:space="preserve">will aim to issue operation guidance for the implementation of the EAMS which will </w:t>
      </w:r>
      <w:r w:rsidR="3209B265" w:rsidRPr="003D2373">
        <w:rPr>
          <w:rFonts w:asciiTheme="minorHAnsi" w:hAnsiTheme="minorHAnsi" w:cstheme="minorHAnsi"/>
        </w:rPr>
        <w:t>include</w:t>
      </w:r>
      <w:r w:rsidR="2B8B827D" w:rsidRPr="003D2373">
        <w:rPr>
          <w:rFonts w:asciiTheme="minorHAnsi" w:hAnsiTheme="minorHAnsi" w:cstheme="minorHAnsi"/>
        </w:rPr>
        <w:t xml:space="preserve"> </w:t>
      </w:r>
      <w:r w:rsidR="2A213ED4" w:rsidRPr="003D2373">
        <w:rPr>
          <w:rFonts w:asciiTheme="minorHAnsi" w:hAnsiTheme="minorHAnsi" w:cstheme="minorHAnsi"/>
        </w:rPr>
        <w:t xml:space="preserve">a </w:t>
      </w:r>
      <w:r w:rsidRPr="003D2373">
        <w:rPr>
          <w:rFonts w:asciiTheme="minorHAnsi" w:hAnsiTheme="minorHAnsi" w:cstheme="minorHAnsi"/>
        </w:rPr>
        <w:t xml:space="preserve">clear and appropriate exit strategy and </w:t>
      </w:r>
      <w:r w:rsidR="00174A79" w:rsidRPr="003D2373">
        <w:rPr>
          <w:rFonts w:asciiTheme="minorHAnsi" w:hAnsiTheme="minorHAnsi" w:cstheme="minorHAnsi"/>
        </w:rPr>
        <w:t xml:space="preserve">guidance on </w:t>
      </w:r>
      <w:r w:rsidRPr="003D2373">
        <w:rPr>
          <w:rFonts w:asciiTheme="minorHAnsi" w:hAnsiTheme="minorHAnsi" w:cstheme="minorHAnsi"/>
        </w:rPr>
        <w:t xml:space="preserve">information governance.  </w:t>
      </w:r>
      <w:r w:rsidR="61396E4B" w:rsidRPr="003D2373">
        <w:rPr>
          <w:rFonts w:asciiTheme="minorHAnsi" w:hAnsiTheme="minorHAnsi" w:cstheme="minorHAnsi"/>
        </w:rPr>
        <w:t xml:space="preserve"> In the absence of operational guidance, the advice </w:t>
      </w:r>
      <w:r w:rsidR="00174A79" w:rsidRPr="003D2373">
        <w:rPr>
          <w:rFonts w:asciiTheme="minorHAnsi" w:hAnsiTheme="minorHAnsi" w:cstheme="minorHAnsi"/>
        </w:rPr>
        <w:t xml:space="preserve">in the general principles section </w:t>
      </w:r>
      <w:r w:rsidR="61396E4B" w:rsidRPr="003D2373">
        <w:rPr>
          <w:rFonts w:asciiTheme="minorHAnsi" w:hAnsiTheme="minorHAnsi" w:cstheme="minorHAnsi"/>
        </w:rPr>
        <w:t>for considering the scheme should be followed</w:t>
      </w:r>
      <w:r w:rsidR="4C50A968" w:rsidRPr="003D2373">
        <w:rPr>
          <w:rFonts w:asciiTheme="minorHAnsi" w:hAnsiTheme="minorHAnsi" w:cstheme="minorHAnsi"/>
        </w:rPr>
        <w:t>.</w:t>
      </w:r>
    </w:p>
    <w:p w14:paraId="10C43755" w14:textId="77777777" w:rsidR="00790407" w:rsidRPr="003D2373" w:rsidRDefault="00790407" w:rsidP="003D2373">
      <w:pPr>
        <w:pStyle w:val="paragraph"/>
        <w:spacing w:before="0" w:beforeAutospacing="0" w:after="0" w:afterAutospacing="0"/>
        <w:ind w:left="720"/>
        <w:jc w:val="both"/>
        <w:textAlignment w:val="baseline"/>
        <w:rPr>
          <w:rFonts w:asciiTheme="minorHAnsi" w:hAnsiTheme="minorHAnsi" w:cstheme="minorHAnsi"/>
        </w:rPr>
      </w:pPr>
    </w:p>
    <w:p w14:paraId="4BB918A6" w14:textId="7A54B9A0" w:rsidR="00D05D35" w:rsidRPr="003D2373" w:rsidRDefault="00790407" w:rsidP="003D2373">
      <w:pPr>
        <w:pStyle w:val="paragraph"/>
        <w:spacing w:before="0" w:beforeAutospacing="0" w:after="0" w:afterAutospacing="0"/>
        <w:jc w:val="both"/>
        <w:textAlignment w:val="baseline"/>
        <w:rPr>
          <w:rFonts w:asciiTheme="minorHAnsi" w:hAnsiTheme="minorHAnsi" w:cstheme="minorHAnsi"/>
        </w:rPr>
      </w:pPr>
      <w:r w:rsidRPr="003D2373">
        <w:rPr>
          <w:rFonts w:asciiTheme="minorHAnsi" w:hAnsiTheme="minorHAnsi" w:cstheme="minorHAnsi"/>
        </w:rPr>
        <w:t xml:space="preserve">An </w:t>
      </w:r>
      <w:hyperlink r:id="rId15" w:history="1">
        <w:r w:rsidRPr="00CF7CB1">
          <w:rPr>
            <w:rStyle w:val="Hyperlink"/>
            <w:rFonts w:asciiTheme="minorHAnsi" w:hAnsiTheme="minorHAnsi" w:cstheme="minorHAnsi"/>
          </w:rPr>
          <w:t>Unlicensed Medicines Form (ULM Form)</w:t>
        </w:r>
      </w:hyperlink>
      <w:r w:rsidRPr="003D2373">
        <w:rPr>
          <w:rFonts w:asciiTheme="minorHAnsi" w:hAnsiTheme="minorHAnsi" w:cstheme="minorHAnsi"/>
        </w:rPr>
        <w:t xml:space="preserve"> should be completed and approved prior to registering any patient for an EAMS</w:t>
      </w:r>
      <w:r w:rsidR="2B6E8948" w:rsidRPr="003D2373">
        <w:rPr>
          <w:rFonts w:asciiTheme="minorHAnsi" w:hAnsiTheme="minorHAnsi" w:cstheme="minorHAnsi"/>
        </w:rPr>
        <w:t xml:space="preserve">. </w:t>
      </w:r>
    </w:p>
    <w:p w14:paraId="2F3F2D7E" w14:textId="77777777" w:rsidR="00174A79" w:rsidRPr="003D2373" w:rsidRDefault="00174A79" w:rsidP="003D2373">
      <w:pPr>
        <w:pStyle w:val="paragraph"/>
        <w:spacing w:before="0" w:beforeAutospacing="0" w:after="0" w:afterAutospacing="0"/>
        <w:jc w:val="both"/>
        <w:textAlignment w:val="baseline"/>
        <w:rPr>
          <w:rFonts w:asciiTheme="minorHAnsi" w:hAnsiTheme="minorHAnsi" w:cstheme="minorHAnsi"/>
        </w:rPr>
      </w:pPr>
    </w:p>
    <w:p w14:paraId="2B34A389" w14:textId="32FBC9C9" w:rsidR="00D05D35" w:rsidRPr="003D2373" w:rsidRDefault="00174A79"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 xml:space="preserve">Required </w:t>
      </w:r>
      <w:r w:rsidR="00D901D6" w:rsidRPr="003D2373">
        <w:rPr>
          <w:rFonts w:asciiTheme="minorHAnsi" w:hAnsiTheme="minorHAnsi" w:cstheme="minorHAnsi"/>
          <w:color w:val="1F497D"/>
          <w:szCs w:val="24"/>
        </w:rPr>
        <w:t>d</w:t>
      </w:r>
      <w:r w:rsidR="0062595D" w:rsidRPr="003D2373">
        <w:rPr>
          <w:rFonts w:asciiTheme="minorHAnsi" w:hAnsiTheme="minorHAnsi" w:cstheme="minorHAnsi"/>
          <w:color w:val="1F497D"/>
          <w:szCs w:val="24"/>
        </w:rPr>
        <w:t>ocumentation</w:t>
      </w:r>
      <w:r w:rsidRPr="003D2373">
        <w:rPr>
          <w:rFonts w:asciiTheme="minorHAnsi" w:hAnsiTheme="minorHAnsi" w:cstheme="minorHAnsi"/>
          <w:color w:val="1F497D"/>
          <w:szCs w:val="24"/>
        </w:rPr>
        <w:t>:</w:t>
      </w:r>
      <w:r w:rsidR="00D05D35" w:rsidRPr="003D2373">
        <w:rPr>
          <w:rFonts w:asciiTheme="minorHAnsi" w:hAnsiTheme="minorHAnsi" w:cstheme="minorHAnsi"/>
          <w:color w:val="1F497D"/>
          <w:szCs w:val="24"/>
        </w:rPr>
        <w:t xml:space="preserve"> Compassionate Use</w:t>
      </w:r>
      <w:r w:rsidR="79129EBC" w:rsidRPr="003D2373">
        <w:rPr>
          <w:rFonts w:asciiTheme="minorHAnsi" w:hAnsiTheme="minorHAnsi" w:cstheme="minorHAnsi"/>
          <w:color w:val="1F497D"/>
          <w:szCs w:val="24"/>
        </w:rPr>
        <w:t>,</w:t>
      </w:r>
      <w:r w:rsidR="00D05D35" w:rsidRPr="003D2373">
        <w:rPr>
          <w:rFonts w:asciiTheme="minorHAnsi" w:hAnsiTheme="minorHAnsi" w:cstheme="minorHAnsi"/>
          <w:color w:val="1F497D"/>
          <w:szCs w:val="24"/>
        </w:rPr>
        <w:t xml:space="preserve"> Expanded Access Schemes</w:t>
      </w:r>
      <w:r w:rsidR="660D3889" w:rsidRPr="003D2373">
        <w:rPr>
          <w:rFonts w:asciiTheme="minorHAnsi" w:hAnsiTheme="minorHAnsi" w:cstheme="minorHAnsi"/>
          <w:color w:val="1F497D"/>
          <w:szCs w:val="24"/>
        </w:rPr>
        <w:t xml:space="preserve"> or Named Patient Supply</w:t>
      </w:r>
    </w:p>
    <w:p w14:paraId="28209363" w14:textId="46D49D33" w:rsidR="00D05D35" w:rsidRPr="003D2373" w:rsidRDefault="006208C9" w:rsidP="003D2373">
      <w:pPr>
        <w:pStyle w:val="paragraph"/>
        <w:spacing w:before="0" w:beforeAutospacing="0" w:after="0" w:afterAutospacing="0"/>
        <w:jc w:val="both"/>
        <w:textAlignment w:val="baseline"/>
        <w:rPr>
          <w:rFonts w:asciiTheme="minorHAnsi" w:hAnsiTheme="minorHAnsi" w:cstheme="minorHAnsi"/>
        </w:rPr>
      </w:pPr>
      <w:r w:rsidRPr="003D2373">
        <w:rPr>
          <w:rFonts w:asciiTheme="minorHAnsi" w:hAnsiTheme="minorHAnsi" w:cstheme="minorHAnsi"/>
        </w:rPr>
        <w:t xml:space="preserve">An </w:t>
      </w:r>
      <w:hyperlink r:id="rId16" w:history="1">
        <w:r w:rsidRPr="00075EFA">
          <w:rPr>
            <w:rStyle w:val="Hyperlink"/>
            <w:rFonts w:asciiTheme="minorHAnsi" w:hAnsiTheme="minorHAnsi" w:cstheme="minorHAnsi"/>
          </w:rPr>
          <w:t>Unlicensed Medicines Form (ULM Form)</w:t>
        </w:r>
      </w:hyperlink>
      <w:r w:rsidRPr="003D2373">
        <w:rPr>
          <w:rFonts w:asciiTheme="minorHAnsi" w:hAnsiTheme="minorHAnsi" w:cstheme="minorHAnsi"/>
        </w:rPr>
        <w:t xml:space="preserve"> should be completed and approved prior to registering any patient for an unlicensed medicine scheme</w:t>
      </w:r>
      <w:r w:rsidR="66630DB2" w:rsidRPr="003D2373">
        <w:rPr>
          <w:rFonts w:asciiTheme="minorHAnsi" w:hAnsiTheme="minorHAnsi" w:cstheme="minorHAnsi"/>
        </w:rPr>
        <w:t>.</w:t>
      </w:r>
      <w:r w:rsidR="00174683" w:rsidRPr="003D2373">
        <w:rPr>
          <w:rFonts w:asciiTheme="minorHAnsi" w:hAnsiTheme="minorHAnsi" w:cstheme="minorHAnsi"/>
        </w:rPr>
        <w:t xml:space="preserve"> Following COM approval, the agreement with the pharmaceutical company can be signed off and individual patient recruitment can begin</w:t>
      </w:r>
    </w:p>
    <w:p w14:paraId="3C6ECB44" w14:textId="617647D5" w:rsidR="0D93B8FA" w:rsidRPr="003D2373" w:rsidRDefault="0D93B8FA" w:rsidP="003D2373">
      <w:pPr>
        <w:pStyle w:val="BodyText"/>
        <w:jc w:val="both"/>
        <w:rPr>
          <w:rFonts w:asciiTheme="minorHAnsi" w:hAnsiTheme="minorHAnsi" w:cstheme="minorHAnsi"/>
          <w:color w:val="1F497D"/>
          <w:szCs w:val="24"/>
        </w:rPr>
      </w:pPr>
    </w:p>
    <w:p w14:paraId="5FA6DD43" w14:textId="04227178" w:rsidR="002A25DC" w:rsidRPr="003D2373" w:rsidRDefault="00174A79" w:rsidP="00DF0A5A">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 xml:space="preserve">Required </w:t>
      </w:r>
      <w:r w:rsidR="00D901D6" w:rsidRPr="003D2373">
        <w:rPr>
          <w:rFonts w:asciiTheme="minorHAnsi" w:hAnsiTheme="minorHAnsi" w:cstheme="minorHAnsi"/>
          <w:color w:val="1F497D"/>
          <w:szCs w:val="24"/>
        </w:rPr>
        <w:t>d</w:t>
      </w:r>
      <w:r w:rsidRPr="003D2373">
        <w:rPr>
          <w:rFonts w:asciiTheme="minorHAnsi" w:hAnsiTheme="minorHAnsi" w:cstheme="minorHAnsi"/>
          <w:color w:val="1F497D"/>
          <w:szCs w:val="24"/>
        </w:rPr>
        <w:t>ocumentation</w:t>
      </w:r>
      <w:r w:rsidR="00D05D35" w:rsidRPr="003D2373">
        <w:rPr>
          <w:rFonts w:asciiTheme="minorHAnsi" w:hAnsiTheme="minorHAnsi" w:cstheme="minorHAnsi"/>
          <w:color w:val="1F497D"/>
          <w:szCs w:val="24"/>
        </w:rPr>
        <w:t xml:space="preserve">: </w:t>
      </w:r>
      <w:r w:rsidR="6D2A1C63" w:rsidRPr="003D2373">
        <w:rPr>
          <w:rFonts w:asciiTheme="minorHAnsi" w:hAnsiTheme="minorHAnsi" w:cstheme="minorHAnsi"/>
          <w:color w:val="1F497D"/>
          <w:szCs w:val="24"/>
        </w:rPr>
        <w:t>P</w:t>
      </w:r>
      <w:r w:rsidR="4C35D2EE" w:rsidRPr="003D2373">
        <w:rPr>
          <w:rFonts w:asciiTheme="minorHAnsi" w:hAnsiTheme="minorHAnsi" w:cstheme="minorHAnsi"/>
          <w:color w:val="1F497D"/>
          <w:szCs w:val="24"/>
        </w:rPr>
        <w:t>re-HTA</w:t>
      </w:r>
      <w:r w:rsidR="15FEBF90" w:rsidRPr="003D2373">
        <w:rPr>
          <w:rFonts w:asciiTheme="minorHAnsi" w:hAnsiTheme="minorHAnsi" w:cstheme="minorHAnsi"/>
          <w:color w:val="1F497D"/>
          <w:szCs w:val="24"/>
        </w:rPr>
        <w:t xml:space="preserve"> l</w:t>
      </w:r>
      <w:r w:rsidR="4C35D2EE" w:rsidRPr="003D2373">
        <w:rPr>
          <w:rFonts w:asciiTheme="minorHAnsi" w:hAnsiTheme="minorHAnsi" w:cstheme="minorHAnsi"/>
          <w:color w:val="1F497D"/>
          <w:szCs w:val="24"/>
        </w:rPr>
        <w:t xml:space="preserve">icensed </w:t>
      </w:r>
      <w:r w:rsidR="5D1121C1" w:rsidRPr="003D2373">
        <w:rPr>
          <w:rFonts w:asciiTheme="minorHAnsi" w:hAnsiTheme="minorHAnsi" w:cstheme="minorHAnsi"/>
          <w:color w:val="1F497D"/>
          <w:szCs w:val="24"/>
        </w:rPr>
        <w:t>medicine access</w:t>
      </w:r>
      <w:r w:rsidR="4C35D2EE" w:rsidRPr="003D2373">
        <w:rPr>
          <w:rFonts w:asciiTheme="minorHAnsi" w:hAnsiTheme="minorHAnsi" w:cstheme="minorHAnsi"/>
          <w:color w:val="1F497D"/>
          <w:szCs w:val="24"/>
        </w:rPr>
        <w:t xml:space="preserve"> schemes</w:t>
      </w:r>
    </w:p>
    <w:p w14:paraId="0334DC9C" w14:textId="2F369946" w:rsidR="002A25DC" w:rsidRPr="003D2373" w:rsidRDefault="6BEB596C" w:rsidP="003D2373">
      <w:pPr>
        <w:pStyle w:val="paragraph"/>
        <w:spacing w:before="0" w:beforeAutospacing="0" w:after="0" w:afterAutospacing="0"/>
        <w:jc w:val="both"/>
        <w:rPr>
          <w:rFonts w:asciiTheme="minorHAnsi" w:hAnsiTheme="minorHAnsi" w:cstheme="minorHAnsi"/>
        </w:rPr>
      </w:pPr>
      <w:r w:rsidRPr="003D2373">
        <w:rPr>
          <w:rFonts w:asciiTheme="minorHAnsi" w:hAnsiTheme="minorHAnsi" w:cstheme="minorHAnsi"/>
        </w:rPr>
        <w:t xml:space="preserve">An </w:t>
      </w:r>
      <w:hyperlink r:id="rId17" w:history="1">
        <w:r w:rsidRPr="00757CD3">
          <w:rPr>
            <w:rStyle w:val="Hyperlink"/>
            <w:rFonts w:asciiTheme="minorHAnsi" w:hAnsiTheme="minorHAnsi" w:cstheme="minorHAnsi"/>
          </w:rPr>
          <w:t>IPTR or PACS 2</w:t>
        </w:r>
      </w:hyperlink>
      <w:r w:rsidRPr="003D2373">
        <w:rPr>
          <w:rFonts w:asciiTheme="minorHAnsi" w:hAnsiTheme="minorHAnsi" w:cstheme="minorHAnsi"/>
        </w:rPr>
        <w:t xml:space="preserve"> (whichever is appropriate) should be completed and approved prior to registering any patient.</w:t>
      </w:r>
    </w:p>
    <w:p w14:paraId="53179320" w14:textId="77777777" w:rsidR="002A25DC" w:rsidRPr="003D2373" w:rsidRDefault="002A25DC" w:rsidP="003D2373">
      <w:pPr>
        <w:pStyle w:val="paragraph"/>
        <w:spacing w:before="0" w:beforeAutospacing="0" w:after="0" w:afterAutospacing="0"/>
        <w:ind w:left="360"/>
        <w:jc w:val="both"/>
        <w:textAlignment w:val="baseline"/>
        <w:rPr>
          <w:rFonts w:asciiTheme="minorHAnsi" w:hAnsiTheme="minorHAnsi" w:cstheme="minorHAnsi"/>
          <w:b/>
        </w:rPr>
      </w:pPr>
    </w:p>
    <w:p w14:paraId="128E2BAA" w14:textId="020C0038" w:rsidR="00D05D35" w:rsidRPr="003D2373" w:rsidRDefault="00174A79"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 xml:space="preserve">Required </w:t>
      </w:r>
      <w:r w:rsidR="00D901D6" w:rsidRPr="003D2373">
        <w:rPr>
          <w:rFonts w:asciiTheme="minorHAnsi" w:hAnsiTheme="minorHAnsi" w:cstheme="minorHAnsi"/>
          <w:color w:val="1F497D"/>
          <w:szCs w:val="24"/>
        </w:rPr>
        <w:t>d</w:t>
      </w:r>
      <w:r w:rsidRPr="003D2373">
        <w:rPr>
          <w:rFonts w:asciiTheme="minorHAnsi" w:hAnsiTheme="minorHAnsi" w:cstheme="minorHAnsi"/>
          <w:color w:val="1F497D"/>
          <w:szCs w:val="24"/>
        </w:rPr>
        <w:t>ocumentation</w:t>
      </w:r>
      <w:r w:rsidR="00D05D35" w:rsidRPr="003D2373">
        <w:rPr>
          <w:rFonts w:asciiTheme="minorHAnsi" w:hAnsiTheme="minorHAnsi" w:cstheme="minorHAnsi"/>
          <w:color w:val="1F497D"/>
          <w:szCs w:val="24"/>
        </w:rPr>
        <w:t xml:space="preserve">: </w:t>
      </w:r>
      <w:r w:rsidR="411BD7E8" w:rsidRPr="003D2373">
        <w:rPr>
          <w:rFonts w:asciiTheme="minorHAnsi" w:hAnsiTheme="minorHAnsi" w:cstheme="minorHAnsi"/>
          <w:color w:val="1F497D"/>
          <w:szCs w:val="24"/>
        </w:rPr>
        <w:t>Post-HTA l</w:t>
      </w:r>
      <w:r w:rsidR="00D05D35" w:rsidRPr="003D2373">
        <w:rPr>
          <w:rFonts w:asciiTheme="minorHAnsi" w:hAnsiTheme="minorHAnsi" w:cstheme="minorHAnsi"/>
          <w:color w:val="1F497D"/>
          <w:szCs w:val="24"/>
        </w:rPr>
        <w:t>icensed medicine access schemes</w:t>
      </w:r>
    </w:p>
    <w:p w14:paraId="669E4FB5" w14:textId="6C48D1F9" w:rsidR="001E040F" w:rsidRPr="003D2373" w:rsidRDefault="48119D60" w:rsidP="003D2373">
      <w:pPr>
        <w:pStyle w:val="paragraph"/>
        <w:spacing w:before="0" w:beforeAutospacing="0" w:after="0" w:afterAutospacing="0"/>
        <w:jc w:val="both"/>
        <w:rPr>
          <w:rFonts w:asciiTheme="minorHAnsi" w:hAnsiTheme="minorHAnsi" w:cstheme="minorHAnsi"/>
        </w:rPr>
      </w:pPr>
      <w:r w:rsidRPr="003D2373">
        <w:rPr>
          <w:rFonts w:asciiTheme="minorHAnsi" w:hAnsiTheme="minorHAnsi" w:cstheme="minorHAnsi"/>
        </w:rPr>
        <w:t xml:space="preserve">No paperwork is routinely required to access medicines accepted for use by SMC.  </w:t>
      </w:r>
    </w:p>
    <w:p w14:paraId="444B43B0" w14:textId="77777777" w:rsidR="003957CD" w:rsidRPr="003D2373" w:rsidRDefault="003957CD" w:rsidP="003D2373">
      <w:pPr>
        <w:pStyle w:val="paragraph"/>
        <w:spacing w:before="0" w:beforeAutospacing="0" w:after="0" w:afterAutospacing="0"/>
        <w:jc w:val="both"/>
        <w:textAlignment w:val="baseline"/>
        <w:rPr>
          <w:rFonts w:asciiTheme="minorHAnsi" w:hAnsiTheme="minorHAnsi" w:cstheme="minorHAnsi"/>
        </w:rPr>
      </w:pPr>
    </w:p>
    <w:p w14:paraId="7C3AD302" w14:textId="2F32380D" w:rsidR="00174683" w:rsidRPr="003D2373" w:rsidRDefault="00174683"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Good Practice Point</w:t>
      </w:r>
      <w:r w:rsidR="00AF02E8" w:rsidRPr="003D2373">
        <w:rPr>
          <w:rFonts w:asciiTheme="minorHAnsi" w:hAnsiTheme="minorHAnsi" w:cstheme="minorHAnsi"/>
          <w:color w:val="1F497D"/>
          <w:szCs w:val="24"/>
        </w:rPr>
        <w:t>s</w:t>
      </w:r>
      <w:r w:rsidRPr="003D2373">
        <w:rPr>
          <w:rFonts w:asciiTheme="minorHAnsi" w:hAnsiTheme="minorHAnsi" w:cstheme="minorHAnsi"/>
          <w:color w:val="1F497D"/>
          <w:szCs w:val="24"/>
        </w:rPr>
        <w:t>:</w:t>
      </w:r>
    </w:p>
    <w:p w14:paraId="7406B234" w14:textId="21E15477" w:rsidR="0062595D" w:rsidRPr="00CA4BC2" w:rsidRDefault="004B7A2E" w:rsidP="00CA4BC2">
      <w:pPr>
        <w:autoSpaceDE w:val="0"/>
        <w:autoSpaceDN w:val="0"/>
        <w:adjustRightInd w:val="0"/>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Consideration should be </w:t>
      </w:r>
      <w:r w:rsidR="001E2B16" w:rsidRPr="003D2373">
        <w:rPr>
          <w:rFonts w:asciiTheme="minorHAnsi" w:hAnsiTheme="minorHAnsi" w:cstheme="minorHAnsi"/>
          <w:sz w:val="24"/>
          <w:szCs w:val="24"/>
        </w:rPr>
        <w:t xml:space="preserve">given </w:t>
      </w:r>
      <w:r w:rsidR="001E2B16">
        <w:rPr>
          <w:rFonts w:asciiTheme="minorHAnsi" w:hAnsiTheme="minorHAnsi" w:cstheme="minorHAnsi"/>
          <w:sz w:val="24"/>
          <w:szCs w:val="24"/>
        </w:rPr>
        <w:t>to</w:t>
      </w:r>
      <w:r w:rsidRPr="003D2373">
        <w:rPr>
          <w:rFonts w:asciiTheme="minorHAnsi" w:hAnsiTheme="minorHAnsi" w:cstheme="minorHAnsi"/>
          <w:sz w:val="24"/>
          <w:szCs w:val="24"/>
        </w:rPr>
        <w:t xml:space="preserve"> whether the medicine needs to be included in the following year’s horizon </w:t>
      </w:r>
      <w:r w:rsidR="003D2373" w:rsidRPr="003D2373">
        <w:rPr>
          <w:rFonts w:asciiTheme="minorHAnsi" w:eastAsia="Times New Roman" w:hAnsiTheme="minorHAnsi" w:cstheme="minorHAnsi"/>
          <w:sz w:val="24"/>
          <w:szCs w:val="24"/>
          <w:lang w:eastAsia="en-GB"/>
        </w:rPr>
        <w:t>scanning exercise</w:t>
      </w:r>
      <w:r w:rsidRPr="003D2373">
        <w:rPr>
          <w:rFonts w:asciiTheme="minorHAnsi" w:eastAsia="Times New Roman" w:hAnsiTheme="minorHAnsi" w:cstheme="minorHAnsi"/>
          <w:sz w:val="24"/>
          <w:szCs w:val="24"/>
          <w:lang w:eastAsia="en-GB"/>
        </w:rPr>
        <w:t>. If other medicines or services are required this may need wider service discussion or consideration of the implications of the in-year budget. </w:t>
      </w:r>
    </w:p>
    <w:p w14:paraId="67A3D775" w14:textId="00E90DB5" w:rsidR="00E75E2B" w:rsidRPr="003D2373" w:rsidRDefault="00E75E2B" w:rsidP="003D2373">
      <w:pPr>
        <w:autoSpaceDE w:val="0"/>
        <w:autoSpaceDN w:val="0"/>
        <w:adjustRightInd w:val="0"/>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For unlicensed medicine schemes or pre-HTA schemes, often the </w:t>
      </w:r>
      <w:r w:rsidR="0062595D" w:rsidRPr="003D2373">
        <w:rPr>
          <w:rFonts w:asciiTheme="minorHAnsi" w:hAnsiTheme="minorHAnsi" w:cstheme="minorHAnsi"/>
          <w:sz w:val="24"/>
          <w:szCs w:val="24"/>
        </w:rPr>
        <w:t xml:space="preserve">initial </w:t>
      </w:r>
      <w:r w:rsidRPr="003D2373">
        <w:rPr>
          <w:rFonts w:asciiTheme="minorHAnsi" w:hAnsiTheme="minorHAnsi" w:cstheme="minorHAnsi"/>
          <w:sz w:val="24"/>
          <w:szCs w:val="24"/>
        </w:rPr>
        <w:t xml:space="preserve">cost of </w:t>
      </w:r>
      <w:r w:rsidR="001E2B16" w:rsidRPr="003D2373">
        <w:rPr>
          <w:rFonts w:asciiTheme="minorHAnsi" w:hAnsiTheme="minorHAnsi" w:cstheme="minorHAnsi"/>
          <w:sz w:val="24"/>
          <w:szCs w:val="24"/>
        </w:rPr>
        <w:t xml:space="preserve">medicines </w:t>
      </w:r>
      <w:r w:rsidR="001E2B16">
        <w:rPr>
          <w:rFonts w:asciiTheme="minorHAnsi" w:hAnsiTheme="minorHAnsi" w:cstheme="minorHAnsi"/>
          <w:sz w:val="24"/>
          <w:szCs w:val="24"/>
        </w:rPr>
        <w:t>is</w:t>
      </w:r>
      <w:r w:rsidRPr="003D2373">
        <w:rPr>
          <w:rFonts w:asciiTheme="minorHAnsi" w:hAnsiTheme="minorHAnsi" w:cstheme="minorHAnsi"/>
          <w:sz w:val="24"/>
          <w:szCs w:val="24"/>
        </w:rPr>
        <w:t xml:space="preserve"> either free of charge, or at a nominal cost</w:t>
      </w:r>
      <w:r w:rsidR="0062595D" w:rsidRPr="003D2373">
        <w:rPr>
          <w:rFonts w:asciiTheme="minorHAnsi" w:hAnsiTheme="minorHAnsi" w:cstheme="minorHAnsi"/>
          <w:sz w:val="24"/>
          <w:szCs w:val="24"/>
        </w:rPr>
        <w:t>.  T</w:t>
      </w:r>
      <w:r w:rsidRPr="003D2373">
        <w:rPr>
          <w:rFonts w:asciiTheme="minorHAnsi" w:hAnsiTheme="minorHAnsi" w:cstheme="minorHAnsi"/>
          <w:sz w:val="24"/>
          <w:szCs w:val="24"/>
        </w:rPr>
        <w:t xml:space="preserve">here may be future cost implications that arise when access to the medicine via the scheme ceases.  In agreeing terms with the </w:t>
      </w:r>
      <w:r w:rsidR="132475D0" w:rsidRPr="003D2373">
        <w:rPr>
          <w:rFonts w:asciiTheme="minorHAnsi" w:hAnsiTheme="minorHAnsi" w:cstheme="minorHAnsi"/>
          <w:sz w:val="24"/>
          <w:szCs w:val="24"/>
        </w:rPr>
        <w:t>pharmaceutical</w:t>
      </w:r>
      <w:r w:rsidRPr="003D2373">
        <w:rPr>
          <w:rFonts w:asciiTheme="minorHAnsi" w:hAnsiTheme="minorHAnsi" w:cstheme="minorHAnsi"/>
          <w:sz w:val="24"/>
          <w:szCs w:val="24"/>
        </w:rPr>
        <w:t xml:space="preserve"> company </w:t>
      </w:r>
      <w:r w:rsidR="00053CA9">
        <w:rPr>
          <w:rFonts w:asciiTheme="minorHAnsi" w:hAnsiTheme="minorHAnsi" w:cstheme="minorHAnsi"/>
          <w:sz w:val="24"/>
          <w:szCs w:val="24"/>
        </w:rPr>
        <w:t>with</w:t>
      </w:r>
      <w:r w:rsidR="006D0EE2" w:rsidRPr="003D2373">
        <w:rPr>
          <w:rFonts w:asciiTheme="minorHAnsi" w:hAnsiTheme="minorHAnsi" w:cstheme="minorHAnsi"/>
          <w:sz w:val="24"/>
          <w:szCs w:val="24"/>
        </w:rPr>
        <w:t xml:space="preserve"> regard</w:t>
      </w:r>
      <w:r w:rsidR="00053CA9">
        <w:rPr>
          <w:rFonts w:asciiTheme="minorHAnsi" w:hAnsiTheme="minorHAnsi" w:cstheme="minorHAnsi"/>
          <w:sz w:val="24"/>
          <w:szCs w:val="24"/>
        </w:rPr>
        <w:t>s</w:t>
      </w:r>
      <w:r w:rsidR="006D0EE2" w:rsidRPr="003D2373">
        <w:rPr>
          <w:rFonts w:asciiTheme="minorHAnsi" w:hAnsiTheme="minorHAnsi" w:cstheme="minorHAnsi"/>
          <w:sz w:val="24"/>
          <w:szCs w:val="24"/>
        </w:rPr>
        <w:t xml:space="preserve"> to</w:t>
      </w:r>
      <w:r w:rsidRPr="003D2373">
        <w:rPr>
          <w:rFonts w:asciiTheme="minorHAnsi" w:hAnsiTheme="minorHAnsi" w:cstheme="minorHAnsi"/>
          <w:sz w:val="24"/>
          <w:szCs w:val="24"/>
        </w:rPr>
        <w:t xml:space="preserve"> funding of treatment the following statement is suggested:</w:t>
      </w:r>
    </w:p>
    <w:p w14:paraId="777825F1" w14:textId="77777777" w:rsidR="00E75E2B" w:rsidRPr="003D2373" w:rsidRDefault="00E75E2B" w:rsidP="003D2373">
      <w:pPr>
        <w:spacing w:line="240" w:lineRule="auto"/>
        <w:jc w:val="both"/>
        <w:rPr>
          <w:rFonts w:asciiTheme="minorHAnsi" w:hAnsiTheme="minorHAnsi" w:cstheme="minorHAnsi"/>
          <w:i/>
          <w:iCs/>
          <w:sz w:val="24"/>
          <w:szCs w:val="24"/>
        </w:rPr>
      </w:pPr>
      <w:r w:rsidRPr="003D2373">
        <w:rPr>
          <w:rFonts w:asciiTheme="minorHAnsi" w:hAnsiTheme="minorHAnsi" w:cstheme="minorHAnsi"/>
          <w:i/>
          <w:iCs/>
          <w:sz w:val="24"/>
          <w:szCs w:val="24"/>
        </w:rPr>
        <w:t>“x” Pharmaceutical Company commits that after the initiation of therapy the medicine will be provided free of charge until the date of public communication of Scottish Medicines Consortium advice to NHS Scotland. If the drug is not recommended by SMC, then the company will continue to supply the drug free of charge to these patients, until discontinuation on medical grounds, dependent on drug availability. </w:t>
      </w:r>
    </w:p>
    <w:p w14:paraId="46DA55F4" w14:textId="77777777" w:rsidR="003957CD" w:rsidRPr="003D2373" w:rsidRDefault="003957CD"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Supply</w:t>
      </w:r>
    </w:p>
    <w:p w14:paraId="09BE1330" w14:textId="18D1297C" w:rsidR="004B7A2E" w:rsidRPr="003D2373" w:rsidRDefault="004B7A2E" w:rsidP="003D2373">
      <w:pPr>
        <w:spacing w:line="240" w:lineRule="auto"/>
        <w:jc w:val="both"/>
        <w:rPr>
          <w:rFonts w:asciiTheme="minorHAnsi" w:hAnsiTheme="minorHAnsi" w:cstheme="minorHAnsi"/>
          <w:sz w:val="24"/>
          <w:szCs w:val="24"/>
        </w:rPr>
      </w:pPr>
      <w:r w:rsidRPr="003D2373">
        <w:rPr>
          <w:rFonts w:asciiTheme="minorHAnsi" w:hAnsiTheme="minorHAnsi" w:cstheme="minorHAnsi"/>
          <w:sz w:val="24"/>
          <w:szCs w:val="24"/>
        </w:rPr>
        <w:t xml:space="preserve">Arrangements for supply should be </w:t>
      </w:r>
      <w:r w:rsidR="0062595D" w:rsidRPr="003D2373">
        <w:rPr>
          <w:rFonts w:asciiTheme="minorHAnsi" w:hAnsiTheme="minorHAnsi" w:cstheme="minorHAnsi"/>
          <w:sz w:val="24"/>
          <w:szCs w:val="24"/>
        </w:rPr>
        <w:t>clearly defined</w:t>
      </w:r>
      <w:r w:rsidR="003957CD" w:rsidRPr="003D2373">
        <w:rPr>
          <w:rFonts w:asciiTheme="minorHAnsi" w:hAnsiTheme="minorHAnsi" w:cstheme="minorHAnsi"/>
          <w:sz w:val="24"/>
          <w:szCs w:val="24"/>
        </w:rPr>
        <w:t>.</w:t>
      </w:r>
      <w:r w:rsidRPr="003D2373">
        <w:rPr>
          <w:rFonts w:asciiTheme="minorHAnsi" w:hAnsiTheme="minorHAnsi" w:cstheme="minorHAnsi"/>
          <w:sz w:val="24"/>
          <w:szCs w:val="24"/>
        </w:rPr>
        <w:t xml:space="preserve"> In most cases compassionate/ expanded access medicines will have to be supplied from the hospital.  It is important to ensure that there is appropriate discussion with </w:t>
      </w:r>
      <w:r w:rsidR="0062595D" w:rsidRPr="003D2373">
        <w:rPr>
          <w:rFonts w:asciiTheme="minorHAnsi" w:hAnsiTheme="minorHAnsi" w:cstheme="minorHAnsi"/>
          <w:sz w:val="24"/>
          <w:szCs w:val="24"/>
        </w:rPr>
        <w:t xml:space="preserve">both </w:t>
      </w:r>
      <w:r w:rsidRPr="003D2373">
        <w:rPr>
          <w:rFonts w:asciiTheme="minorHAnsi" w:hAnsiTheme="minorHAnsi" w:cstheme="minorHAnsi"/>
          <w:sz w:val="24"/>
          <w:szCs w:val="24"/>
        </w:rPr>
        <w:t>the on-site pharmacy department </w:t>
      </w:r>
      <w:r w:rsidR="0062595D" w:rsidRPr="003D2373">
        <w:rPr>
          <w:rFonts w:asciiTheme="minorHAnsi" w:hAnsiTheme="minorHAnsi" w:cstheme="minorHAnsi"/>
          <w:sz w:val="24"/>
          <w:szCs w:val="24"/>
        </w:rPr>
        <w:t xml:space="preserve">and the Pharmacy Distribution Centre </w:t>
      </w:r>
      <w:r w:rsidRPr="003D2373">
        <w:rPr>
          <w:rFonts w:asciiTheme="minorHAnsi" w:hAnsiTheme="minorHAnsi" w:cstheme="minorHAnsi"/>
          <w:sz w:val="24"/>
          <w:szCs w:val="24"/>
        </w:rPr>
        <w:t>to arrange this.  </w:t>
      </w:r>
      <w:r w:rsidR="0062595D" w:rsidRPr="003D2373">
        <w:rPr>
          <w:rFonts w:asciiTheme="minorHAnsi" w:hAnsiTheme="minorHAnsi" w:cstheme="minorHAnsi"/>
          <w:sz w:val="24"/>
          <w:szCs w:val="24"/>
        </w:rPr>
        <w:t xml:space="preserve"> </w:t>
      </w:r>
    </w:p>
    <w:p w14:paraId="19FD0B9D" w14:textId="6AF1E451" w:rsidR="003957CD" w:rsidRPr="003D2373" w:rsidRDefault="003957CD" w:rsidP="003D2373">
      <w:pPr>
        <w:pStyle w:val="BodyText"/>
        <w:pBdr>
          <w:top w:val="single" w:sz="4" w:space="1" w:color="auto"/>
        </w:pBdr>
        <w:jc w:val="both"/>
        <w:rPr>
          <w:rFonts w:asciiTheme="minorHAnsi" w:hAnsiTheme="minorHAnsi" w:cstheme="minorHAnsi"/>
          <w:color w:val="1F497D"/>
          <w:szCs w:val="24"/>
        </w:rPr>
      </w:pPr>
      <w:r w:rsidRPr="003D2373">
        <w:rPr>
          <w:rFonts w:asciiTheme="minorHAnsi" w:hAnsiTheme="minorHAnsi" w:cstheme="minorHAnsi"/>
          <w:color w:val="1F497D"/>
          <w:szCs w:val="24"/>
        </w:rPr>
        <w:t>Request for patients from neighbouring health boards</w:t>
      </w:r>
    </w:p>
    <w:p w14:paraId="6D699857" w14:textId="3FC4FF99" w:rsidR="0062595D" w:rsidRPr="003D2373" w:rsidRDefault="0062595D" w:rsidP="3076CA1A">
      <w:pPr>
        <w:pStyle w:val="paragraph"/>
        <w:spacing w:before="0" w:beforeAutospacing="0" w:after="0" w:afterAutospacing="0"/>
        <w:jc w:val="both"/>
        <w:textAlignment w:val="baseline"/>
        <w:rPr>
          <w:rFonts w:asciiTheme="minorHAnsi" w:hAnsiTheme="minorHAnsi" w:cstheme="minorHAnsi"/>
        </w:rPr>
      </w:pPr>
      <w:r w:rsidRPr="003D2373">
        <w:rPr>
          <w:rFonts w:asciiTheme="minorHAnsi" w:hAnsiTheme="minorHAnsi" w:cstheme="minorHAnsi"/>
        </w:rPr>
        <w:lastRenderedPageBreak/>
        <w:t xml:space="preserve">Where a patient resides in a health board other than NHSGGC, engagement with the patient’s home board to assist in any financial planning is </w:t>
      </w:r>
      <w:r w:rsidR="00D901D6" w:rsidRPr="003D2373">
        <w:rPr>
          <w:rFonts w:asciiTheme="minorHAnsi" w:hAnsiTheme="minorHAnsi" w:cstheme="minorHAnsi"/>
        </w:rPr>
        <w:t>imperative</w:t>
      </w:r>
      <w:r w:rsidRPr="003D2373">
        <w:rPr>
          <w:rFonts w:asciiTheme="minorHAnsi" w:hAnsiTheme="minorHAnsi" w:cstheme="minorHAnsi"/>
        </w:rPr>
        <w:t>, considering the potential for future cost implications.  The West of Scotland Health Boards ha</w:t>
      </w:r>
      <w:r w:rsidR="003D2373" w:rsidRPr="003D2373">
        <w:rPr>
          <w:rFonts w:asciiTheme="minorHAnsi" w:hAnsiTheme="minorHAnsi" w:cstheme="minorHAnsi"/>
        </w:rPr>
        <w:t>ve</w:t>
      </w:r>
      <w:r w:rsidRPr="003D2373">
        <w:rPr>
          <w:rFonts w:asciiTheme="minorHAnsi" w:hAnsiTheme="minorHAnsi" w:cstheme="minorHAnsi"/>
        </w:rPr>
        <w:t> an agreement on the management of medicines accessed via PACS2, IPTRs and the Unlicensed Medicines (ULM) process within </w:t>
      </w:r>
      <w:r w:rsidR="00D901D6" w:rsidRPr="003D2373">
        <w:rPr>
          <w:rFonts w:asciiTheme="minorHAnsi" w:hAnsiTheme="minorHAnsi" w:cstheme="minorHAnsi"/>
        </w:rPr>
        <w:t>each other’s</w:t>
      </w:r>
      <w:r w:rsidRPr="003D2373">
        <w:rPr>
          <w:rFonts w:asciiTheme="minorHAnsi" w:hAnsiTheme="minorHAnsi" w:cstheme="minorHAnsi"/>
        </w:rPr>
        <w:t xml:space="preserve"> Boards.  </w:t>
      </w:r>
    </w:p>
    <w:p w14:paraId="41BD5D9E" w14:textId="03011F1A" w:rsidR="0062595D" w:rsidRPr="003D2373" w:rsidRDefault="0062595D" w:rsidP="003D2373">
      <w:pPr>
        <w:pStyle w:val="paragraph"/>
        <w:spacing w:before="0" w:beforeAutospacing="0" w:after="0" w:afterAutospacing="0"/>
        <w:jc w:val="both"/>
        <w:textAlignment w:val="baseline"/>
        <w:rPr>
          <w:rFonts w:asciiTheme="minorHAnsi" w:hAnsiTheme="minorHAnsi" w:cstheme="minorHAnsi"/>
        </w:rPr>
      </w:pPr>
    </w:p>
    <w:p w14:paraId="238D429E" w14:textId="4980E53D" w:rsidR="0062595D" w:rsidRDefault="0062595D" w:rsidP="003D2373">
      <w:pPr>
        <w:pStyle w:val="paragraph"/>
        <w:spacing w:before="0" w:beforeAutospacing="0" w:after="0" w:afterAutospacing="0"/>
        <w:jc w:val="both"/>
        <w:textAlignment w:val="baseline"/>
        <w:rPr>
          <w:rFonts w:asciiTheme="minorHAnsi" w:hAnsiTheme="minorHAnsi" w:cstheme="minorHAnsi"/>
        </w:rPr>
      </w:pPr>
      <w:r w:rsidRPr="003D2373">
        <w:rPr>
          <w:rFonts w:asciiTheme="minorHAnsi" w:hAnsiTheme="minorHAnsi" w:cstheme="minorHAnsi"/>
        </w:rPr>
        <w:t xml:space="preserve">Details on specific engagement with the patient’s home health board can be found within the relevant policies for </w:t>
      </w:r>
      <w:hyperlink r:id="rId18" w:history="1">
        <w:r w:rsidRPr="00E93A25">
          <w:rPr>
            <w:rStyle w:val="Hyperlink"/>
            <w:rFonts w:asciiTheme="minorHAnsi" w:hAnsiTheme="minorHAnsi" w:cstheme="minorHAnsi"/>
          </w:rPr>
          <w:t>IPTRs, PACS 2 requests and ULMs</w:t>
        </w:r>
      </w:hyperlink>
      <w:r w:rsidRPr="003D2373">
        <w:rPr>
          <w:rFonts w:asciiTheme="minorHAnsi" w:hAnsiTheme="minorHAnsi" w:cstheme="minorHAnsi"/>
        </w:rPr>
        <w:t>.</w:t>
      </w:r>
    </w:p>
    <w:p w14:paraId="48E23CF6" w14:textId="77777777" w:rsidR="005F228B" w:rsidRDefault="005F228B" w:rsidP="003D2373">
      <w:pPr>
        <w:pStyle w:val="paragraph"/>
        <w:spacing w:before="0" w:beforeAutospacing="0" w:after="0" w:afterAutospacing="0"/>
        <w:jc w:val="both"/>
        <w:textAlignment w:val="baseline"/>
        <w:rPr>
          <w:rFonts w:asciiTheme="minorHAnsi" w:hAnsiTheme="minorHAnsi" w:cstheme="minorHAnsi"/>
        </w:rPr>
      </w:pPr>
    </w:p>
    <w:p w14:paraId="6089BE3D" w14:textId="19B35698" w:rsidR="005F228B" w:rsidRPr="003D2373" w:rsidRDefault="005F228B" w:rsidP="003D2373">
      <w:pPr>
        <w:pStyle w:val="paragraph"/>
        <w:spacing w:before="0" w:beforeAutospacing="0" w:after="0" w:afterAutospacing="0"/>
        <w:jc w:val="both"/>
        <w:textAlignment w:val="baseline"/>
        <w:rPr>
          <w:rFonts w:asciiTheme="minorHAnsi" w:hAnsiTheme="minorHAnsi" w:cstheme="minorHAnsi"/>
        </w:rPr>
      </w:pPr>
      <w:bookmarkStart w:id="0" w:name="_Hlk210723429"/>
      <w:r w:rsidRPr="00D60FB3">
        <w:rPr>
          <w:rFonts w:asciiTheme="minorHAnsi" w:hAnsiTheme="minorHAnsi" w:cstheme="minorHAnsi"/>
          <w:highlight w:val="yellow"/>
        </w:rPr>
        <w:t>If a clinical trial participant has been taking part in the trials</w:t>
      </w:r>
      <w:r w:rsidR="004D3084" w:rsidRPr="00D60FB3">
        <w:rPr>
          <w:rFonts w:asciiTheme="minorHAnsi" w:hAnsiTheme="minorHAnsi" w:cstheme="minorHAnsi"/>
          <w:highlight w:val="yellow"/>
        </w:rPr>
        <w:t xml:space="preserve"> </w:t>
      </w:r>
      <w:r w:rsidR="00D60FB3" w:rsidRPr="00D60FB3">
        <w:rPr>
          <w:rFonts w:asciiTheme="minorHAnsi" w:hAnsiTheme="minorHAnsi" w:cstheme="minorHAnsi"/>
          <w:highlight w:val="yellow"/>
        </w:rPr>
        <w:t>with</w:t>
      </w:r>
      <w:r w:rsidRPr="00D60FB3">
        <w:rPr>
          <w:rFonts w:asciiTheme="minorHAnsi" w:hAnsiTheme="minorHAnsi" w:cstheme="minorHAnsi"/>
          <w:highlight w:val="yellow"/>
        </w:rPr>
        <w:t>in NHSGGC but resides in another health board</w:t>
      </w:r>
      <w:r w:rsidR="004D3084" w:rsidRPr="00D60FB3">
        <w:rPr>
          <w:rFonts w:asciiTheme="minorHAnsi" w:hAnsiTheme="minorHAnsi" w:cstheme="minorHAnsi"/>
          <w:highlight w:val="yellow"/>
        </w:rPr>
        <w:t>,</w:t>
      </w:r>
      <w:r w:rsidRPr="00D60FB3">
        <w:rPr>
          <w:rFonts w:asciiTheme="minorHAnsi" w:hAnsiTheme="minorHAnsi" w:cstheme="minorHAnsi"/>
          <w:highlight w:val="yellow"/>
        </w:rPr>
        <w:t xml:space="preserve"> consideration of repatriation of the care may be possible.  The Sponsor may not allow the post-trial access to the product to be transferred to another clinician or be delivered to another board.  If t</w:t>
      </w:r>
      <w:r w:rsidR="00D60FB3" w:rsidRPr="00D60FB3">
        <w:rPr>
          <w:rFonts w:asciiTheme="minorHAnsi" w:hAnsiTheme="minorHAnsi" w:cstheme="minorHAnsi"/>
          <w:highlight w:val="yellow"/>
        </w:rPr>
        <w:t>ransfer</w:t>
      </w:r>
      <w:r w:rsidRPr="00D60FB3">
        <w:rPr>
          <w:rFonts w:asciiTheme="minorHAnsi" w:hAnsiTheme="minorHAnsi" w:cstheme="minorHAnsi"/>
          <w:highlight w:val="yellow"/>
        </w:rPr>
        <w:t xml:space="preserve"> is permitted then engagement with the other Board is critical to ensure seamless transfer and ongoing care where appropriate.</w:t>
      </w:r>
      <w:r>
        <w:rPr>
          <w:rFonts w:asciiTheme="minorHAnsi" w:hAnsiTheme="minorHAnsi" w:cstheme="minorHAnsi"/>
        </w:rPr>
        <w:t xml:space="preserve">  </w:t>
      </w:r>
    </w:p>
    <w:bookmarkEnd w:id="0"/>
    <w:p w14:paraId="403FAF90" w14:textId="1AE9EAB2" w:rsidR="00E1773F" w:rsidRPr="003D2373" w:rsidRDefault="00E1773F" w:rsidP="003D2373">
      <w:pPr>
        <w:spacing w:line="240" w:lineRule="auto"/>
        <w:jc w:val="both"/>
        <w:rPr>
          <w:rFonts w:asciiTheme="minorHAnsi" w:hAnsiTheme="minorHAnsi" w:cstheme="minorHAnsi"/>
          <w:sz w:val="24"/>
          <w:szCs w:val="24"/>
        </w:rPr>
      </w:pPr>
    </w:p>
    <w:sectPr w:rsidR="00E1773F" w:rsidRPr="003D2373" w:rsidSect="00EB2CB0">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52CB" w14:textId="77777777" w:rsidR="006450B3" w:rsidRDefault="006450B3" w:rsidP="00EB2CB0">
      <w:pPr>
        <w:spacing w:after="0" w:line="240" w:lineRule="auto"/>
      </w:pPr>
      <w:r>
        <w:separator/>
      </w:r>
    </w:p>
  </w:endnote>
  <w:endnote w:type="continuationSeparator" w:id="0">
    <w:p w14:paraId="1F697167" w14:textId="77777777" w:rsidR="006450B3" w:rsidRDefault="006450B3" w:rsidP="00EB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E05A" w14:textId="77777777" w:rsidR="007A552B" w:rsidRDefault="007A5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57" w:type="dxa"/>
        <w:left w:w="0" w:type="dxa"/>
        <w:bottom w:w="57" w:type="dxa"/>
        <w:right w:w="0" w:type="dxa"/>
      </w:tblCellMar>
      <w:tblLook w:val="01E0" w:firstRow="1" w:lastRow="1" w:firstColumn="1" w:lastColumn="1" w:noHBand="0" w:noVBand="0"/>
    </w:tblPr>
    <w:tblGrid>
      <w:gridCol w:w="7937"/>
      <w:gridCol w:w="2529"/>
    </w:tblGrid>
    <w:tr w:rsidR="00EB2CB0" w:rsidRPr="00DB62C1" w14:paraId="7EF49806" w14:textId="77777777" w:rsidTr="4936DD59">
      <w:trPr>
        <w:jc w:val="center"/>
      </w:trPr>
      <w:tc>
        <w:tcPr>
          <w:tcW w:w="3792" w:type="pct"/>
          <w:tcBorders>
            <w:top w:val="nil"/>
            <w:left w:val="nil"/>
            <w:bottom w:val="nil"/>
            <w:right w:val="nil"/>
          </w:tcBorders>
          <w:vAlign w:val="center"/>
        </w:tcPr>
        <w:p w14:paraId="08707215" w14:textId="38D4985D" w:rsidR="00EB2CB0" w:rsidRPr="004505CC" w:rsidRDefault="00EB2CB0" w:rsidP="00EB2CB0">
          <w:pPr>
            <w:pStyle w:val="Footer"/>
            <w:rPr>
              <w:rFonts w:cs="Calibri"/>
              <w:sz w:val="16"/>
              <w:szCs w:val="16"/>
            </w:rPr>
          </w:pPr>
          <w:r w:rsidRPr="004505CC">
            <w:rPr>
              <w:rFonts w:cs="Calibri"/>
              <w:sz w:val="16"/>
              <w:szCs w:val="16"/>
            </w:rPr>
            <w:t xml:space="preserve">File name: </w:t>
          </w:r>
          <w:r w:rsidR="00044299">
            <w:rPr>
              <w:rFonts w:cs="Calibri"/>
              <w:noProof/>
              <w:sz w:val="16"/>
              <w:szCs w:val="16"/>
            </w:rPr>
            <w:t>Medicines Access Scheme Policy</w:t>
          </w:r>
        </w:p>
      </w:tc>
      <w:tc>
        <w:tcPr>
          <w:tcW w:w="1208" w:type="pct"/>
          <w:tcBorders>
            <w:top w:val="nil"/>
            <w:left w:val="nil"/>
            <w:bottom w:val="nil"/>
            <w:right w:val="nil"/>
          </w:tcBorders>
          <w:vAlign w:val="center"/>
        </w:tcPr>
        <w:p w14:paraId="5CD55396" w14:textId="29C84F75" w:rsidR="00EB2CB0" w:rsidRPr="004505CC" w:rsidRDefault="00EB2CB0" w:rsidP="00EB2CB0">
          <w:pPr>
            <w:pStyle w:val="Footer"/>
            <w:rPr>
              <w:rFonts w:cs="Calibri"/>
              <w:sz w:val="16"/>
              <w:szCs w:val="16"/>
            </w:rPr>
          </w:pPr>
          <w:r w:rsidRPr="004505CC">
            <w:rPr>
              <w:rFonts w:cs="Calibri"/>
              <w:sz w:val="16"/>
              <w:szCs w:val="16"/>
            </w:rPr>
            <w:t xml:space="preserve">Date of last revision: </w:t>
          </w:r>
          <w:r w:rsidR="00995ED3">
            <w:rPr>
              <w:rFonts w:cs="Calibri"/>
              <w:sz w:val="16"/>
              <w:szCs w:val="16"/>
            </w:rPr>
            <w:t>11/09/2025</w:t>
          </w:r>
        </w:p>
      </w:tc>
    </w:tr>
    <w:tr w:rsidR="00EB2CB0" w:rsidRPr="00DB62C1" w14:paraId="638BE9CA" w14:textId="77777777" w:rsidTr="4936DD59">
      <w:trPr>
        <w:jc w:val="center"/>
      </w:trPr>
      <w:tc>
        <w:tcPr>
          <w:tcW w:w="3792" w:type="pct"/>
          <w:tcBorders>
            <w:top w:val="nil"/>
            <w:left w:val="nil"/>
            <w:bottom w:val="nil"/>
            <w:right w:val="nil"/>
          </w:tcBorders>
          <w:vAlign w:val="center"/>
        </w:tcPr>
        <w:p w14:paraId="08792C06" w14:textId="3C31443A" w:rsidR="00EB2CB0" w:rsidRPr="004505CC" w:rsidRDefault="00EB2CB0" w:rsidP="00EB2CB0">
          <w:pPr>
            <w:pStyle w:val="Footer"/>
            <w:rPr>
              <w:rFonts w:cs="Calibri"/>
              <w:sz w:val="16"/>
              <w:szCs w:val="16"/>
            </w:rPr>
          </w:pPr>
          <w:r w:rsidRPr="004505CC">
            <w:rPr>
              <w:rFonts w:cs="Calibri"/>
              <w:sz w:val="16"/>
              <w:szCs w:val="16"/>
            </w:rPr>
            <w:t xml:space="preserve">Written by:  </w:t>
          </w:r>
          <w:r w:rsidR="006F7B69">
            <w:rPr>
              <w:rFonts w:cs="Calibri"/>
              <w:sz w:val="16"/>
              <w:szCs w:val="16"/>
            </w:rPr>
            <w:t>Medicines Policy &amp; Guidance team</w:t>
          </w:r>
        </w:p>
      </w:tc>
      <w:tc>
        <w:tcPr>
          <w:tcW w:w="1208" w:type="pct"/>
          <w:tcBorders>
            <w:top w:val="nil"/>
            <w:left w:val="nil"/>
            <w:bottom w:val="nil"/>
            <w:right w:val="nil"/>
          </w:tcBorders>
          <w:vAlign w:val="center"/>
        </w:tcPr>
        <w:p w14:paraId="2B9A8FD0" w14:textId="76EBC335" w:rsidR="00EB2CB0" w:rsidRPr="004505CC" w:rsidRDefault="4936DD59" w:rsidP="00B65645">
          <w:pPr>
            <w:pStyle w:val="Footer"/>
            <w:rPr>
              <w:rFonts w:cs="Calibri"/>
              <w:sz w:val="16"/>
              <w:szCs w:val="16"/>
            </w:rPr>
          </w:pPr>
          <w:r w:rsidRPr="4936DD59">
            <w:rPr>
              <w:rFonts w:cs="Calibri"/>
              <w:sz w:val="16"/>
              <w:szCs w:val="16"/>
            </w:rPr>
            <w:t xml:space="preserve">Date Approved: </w:t>
          </w:r>
          <w:r w:rsidR="006F7B69" w:rsidRPr="006F7B69">
            <w:rPr>
              <w:rFonts w:cs="Calibri"/>
              <w:sz w:val="16"/>
              <w:szCs w:val="16"/>
            </w:rPr>
            <w:t>06</w:t>
          </w:r>
          <w:r w:rsidRPr="006F7B69">
            <w:rPr>
              <w:rFonts w:cs="Calibri"/>
              <w:sz w:val="16"/>
              <w:szCs w:val="16"/>
            </w:rPr>
            <w:t>/1</w:t>
          </w:r>
          <w:r w:rsidR="006F7B69" w:rsidRPr="006F7B69">
            <w:rPr>
              <w:rFonts w:cs="Calibri"/>
              <w:sz w:val="16"/>
              <w:szCs w:val="16"/>
            </w:rPr>
            <w:t>0</w:t>
          </w:r>
          <w:r w:rsidRPr="006F7B69">
            <w:rPr>
              <w:rFonts w:cs="Calibri"/>
              <w:sz w:val="16"/>
              <w:szCs w:val="16"/>
            </w:rPr>
            <w:t>/202</w:t>
          </w:r>
          <w:r w:rsidR="006F7B69" w:rsidRPr="006F7B69">
            <w:rPr>
              <w:rFonts w:cs="Calibri"/>
              <w:sz w:val="16"/>
              <w:szCs w:val="16"/>
            </w:rPr>
            <w:t>5</w:t>
          </w:r>
        </w:p>
      </w:tc>
    </w:tr>
    <w:tr w:rsidR="00EB2CB0" w:rsidRPr="00DB62C1" w14:paraId="2FBD7613" w14:textId="77777777" w:rsidTr="4936DD59">
      <w:trPr>
        <w:jc w:val="center"/>
      </w:trPr>
      <w:tc>
        <w:tcPr>
          <w:tcW w:w="3792" w:type="pct"/>
          <w:tcBorders>
            <w:top w:val="nil"/>
            <w:left w:val="nil"/>
            <w:bottom w:val="nil"/>
            <w:right w:val="nil"/>
          </w:tcBorders>
          <w:vAlign w:val="center"/>
        </w:tcPr>
        <w:p w14:paraId="0994D250" w14:textId="788764DE" w:rsidR="00EB2CB0" w:rsidRPr="004505CC" w:rsidRDefault="00EB2CB0" w:rsidP="00EB2CB0">
          <w:pPr>
            <w:pStyle w:val="Footer"/>
            <w:rPr>
              <w:rFonts w:cs="Calibri"/>
              <w:sz w:val="16"/>
              <w:szCs w:val="16"/>
            </w:rPr>
          </w:pPr>
          <w:r w:rsidRPr="004505CC">
            <w:rPr>
              <w:rFonts w:cs="Calibri"/>
              <w:sz w:val="16"/>
              <w:szCs w:val="16"/>
            </w:rPr>
            <w:t xml:space="preserve">Approved by: </w:t>
          </w:r>
          <w:r w:rsidRPr="006F7B69">
            <w:rPr>
              <w:rFonts w:cs="Calibri"/>
              <w:sz w:val="16"/>
              <w:szCs w:val="16"/>
            </w:rPr>
            <w:t>Area Drug and Therapeutics Committee</w:t>
          </w:r>
        </w:p>
      </w:tc>
      <w:tc>
        <w:tcPr>
          <w:tcW w:w="1208" w:type="pct"/>
          <w:tcBorders>
            <w:top w:val="nil"/>
            <w:left w:val="nil"/>
            <w:bottom w:val="nil"/>
            <w:right w:val="nil"/>
          </w:tcBorders>
          <w:vAlign w:val="center"/>
        </w:tcPr>
        <w:p w14:paraId="2D54F811" w14:textId="7708C6A4" w:rsidR="00EB2CB0" w:rsidRPr="004505CC" w:rsidRDefault="4936DD59" w:rsidP="00EB2CB0">
          <w:pPr>
            <w:pStyle w:val="Footer"/>
            <w:rPr>
              <w:rFonts w:cs="Calibri"/>
              <w:sz w:val="16"/>
              <w:szCs w:val="16"/>
            </w:rPr>
          </w:pPr>
          <w:r w:rsidRPr="4936DD59">
            <w:rPr>
              <w:rFonts w:cs="Calibri"/>
              <w:sz w:val="16"/>
              <w:szCs w:val="16"/>
            </w:rPr>
            <w:t xml:space="preserve">Date for Review: </w:t>
          </w:r>
          <w:r w:rsidRPr="006F7B69">
            <w:rPr>
              <w:rFonts w:cs="Calibri"/>
              <w:sz w:val="16"/>
              <w:szCs w:val="16"/>
            </w:rPr>
            <w:t>0</w:t>
          </w:r>
          <w:r w:rsidR="006F7B69" w:rsidRPr="006F7B69">
            <w:rPr>
              <w:rFonts w:cs="Calibri"/>
              <w:sz w:val="16"/>
              <w:szCs w:val="16"/>
            </w:rPr>
            <w:t>6</w:t>
          </w:r>
          <w:r w:rsidRPr="006F7B69">
            <w:rPr>
              <w:rFonts w:cs="Calibri"/>
              <w:sz w:val="16"/>
              <w:szCs w:val="16"/>
            </w:rPr>
            <w:t>/1</w:t>
          </w:r>
          <w:r w:rsidR="006F7B69" w:rsidRPr="006F7B69">
            <w:rPr>
              <w:rFonts w:cs="Calibri"/>
              <w:sz w:val="16"/>
              <w:szCs w:val="16"/>
            </w:rPr>
            <w:t>0</w:t>
          </w:r>
          <w:r w:rsidRPr="006F7B69">
            <w:rPr>
              <w:rFonts w:cs="Calibri"/>
              <w:sz w:val="16"/>
              <w:szCs w:val="16"/>
            </w:rPr>
            <w:t>/202</w:t>
          </w:r>
          <w:r w:rsidR="006F7B69" w:rsidRPr="006F7B69">
            <w:rPr>
              <w:rFonts w:cs="Calibri"/>
              <w:sz w:val="16"/>
              <w:szCs w:val="16"/>
            </w:rPr>
            <w:t>8</w:t>
          </w:r>
        </w:p>
      </w:tc>
    </w:tr>
    <w:tr w:rsidR="00EB2CB0" w:rsidRPr="00DB62C1" w14:paraId="2779999B" w14:textId="77777777" w:rsidTr="4936DD59">
      <w:trPr>
        <w:jc w:val="center"/>
      </w:trPr>
      <w:tc>
        <w:tcPr>
          <w:tcW w:w="5000" w:type="pct"/>
          <w:gridSpan w:val="2"/>
          <w:tcBorders>
            <w:top w:val="nil"/>
            <w:left w:val="nil"/>
            <w:bottom w:val="nil"/>
            <w:right w:val="nil"/>
          </w:tcBorders>
          <w:vAlign w:val="center"/>
        </w:tcPr>
        <w:p w14:paraId="12677ED6" w14:textId="77777777" w:rsidR="00EB2CB0" w:rsidRPr="004505CC" w:rsidRDefault="00EB2CB0" w:rsidP="00EB2CB0">
          <w:pPr>
            <w:pStyle w:val="Footer"/>
            <w:jc w:val="center"/>
            <w:rPr>
              <w:rFonts w:cs="Calibri"/>
              <w:b/>
              <w:sz w:val="16"/>
              <w:szCs w:val="16"/>
            </w:rPr>
          </w:pPr>
          <w:r w:rsidRPr="004505CC">
            <w:rPr>
              <w:rFonts w:cs="Calibri"/>
              <w:b/>
              <w:sz w:val="16"/>
              <w:szCs w:val="16"/>
            </w:rPr>
            <w:t xml:space="preserve">Page: </w:t>
          </w:r>
          <w:r w:rsidRPr="004505CC">
            <w:rPr>
              <w:rStyle w:val="PageNumber"/>
              <w:rFonts w:cs="Calibri"/>
              <w:b/>
              <w:sz w:val="16"/>
              <w:szCs w:val="16"/>
            </w:rPr>
            <w:fldChar w:fldCharType="begin"/>
          </w:r>
          <w:r w:rsidRPr="004505CC">
            <w:rPr>
              <w:rStyle w:val="PageNumber"/>
              <w:rFonts w:cs="Calibri"/>
              <w:b/>
              <w:sz w:val="16"/>
              <w:szCs w:val="16"/>
            </w:rPr>
            <w:instrText xml:space="preserve"> PAGE </w:instrText>
          </w:r>
          <w:r w:rsidRPr="004505CC">
            <w:rPr>
              <w:rStyle w:val="PageNumber"/>
              <w:rFonts w:cs="Calibri"/>
              <w:b/>
              <w:sz w:val="16"/>
              <w:szCs w:val="16"/>
            </w:rPr>
            <w:fldChar w:fldCharType="separate"/>
          </w:r>
          <w:r w:rsidR="00DB6B6E">
            <w:rPr>
              <w:rStyle w:val="PageNumber"/>
              <w:rFonts w:cs="Calibri"/>
              <w:b/>
              <w:noProof/>
              <w:sz w:val="16"/>
              <w:szCs w:val="16"/>
            </w:rPr>
            <w:t>1</w:t>
          </w:r>
          <w:r w:rsidRPr="004505CC">
            <w:rPr>
              <w:rStyle w:val="PageNumber"/>
              <w:rFonts w:cs="Calibri"/>
              <w:b/>
              <w:sz w:val="16"/>
              <w:szCs w:val="16"/>
            </w:rPr>
            <w:fldChar w:fldCharType="end"/>
          </w:r>
          <w:r w:rsidRPr="004505CC">
            <w:rPr>
              <w:rStyle w:val="PageNumber"/>
              <w:rFonts w:cs="Calibri"/>
              <w:b/>
              <w:sz w:val="16"/>
              <w:szCs w:val="16"/>
            </w:rPr>
            <w:t xml:space="preserve"> of </w:t>
          </w:r>
          <w:r w:rsidRPr="004505CC">
            <w:rPr>
              <w:rStyle w:val="PageNumber"/>
              <w:rFonts w:cs="Calibri"/>
              <w:b/>
              <w:sz w:val="16"/>
              <w:szCs w:val="16"/>
            </w:rPr>
            <w:fldChar w:fldCharType="begin"/>
          </w:r>
          <w:r w:rsidRPr="004505CC">
            <w:rPr>
              <w:rStyle w:val="PageNumber"/>
              <w:rFonts w:cs="Calibri"/>
              <w:b/>
              <w:sz w:val="16"/>
              <w:szCs w:val="16"/>
            </w:rPr>
            <w:instrText xml:space="preserve"> NUMPAGES </w:instrText>
          </w:r>
          <w:r w:rsidRPr="004505CC">
            <w:rPr>
              <w:rStyle w:val="PageNumber"/>
              <w:rFonts w:cs="Calibri"/>
              <w:b/>
              <w:sz w:val="16"/>
              <w:szCs w:val="16"/>
            </w:rPr>
            <w:fldChar w:fldCharType="separate"/>
          </w:r>
          <w:r w:rsidR="00DB6B6E">
            <w:rPr>
              <w:rStyle w:val="PageNumber"/>
              <w:rFonts w:cs="Calibri"/>
              <w:b/>
              <w:noProof/>
              <w:sz w:val="16"/>
              <w:szCs w:val="16"/>
            </w:rPr>
            <w:t>6</w:t>
          </w:r>
          <w:r w:rsidRPr="004505CC">
            <w:rPr>
              <w:rStyle w:val="PageNumber"/>
              <w:rFonts w:cs="Calibri"/>
              <w:b/>
              <w:sz w:val="16"/>
              <w:szCs w:val="16"/>
            </w:rPr>
            <w:fldChar w:fldCharType="end"/>
          </w:r>
        </w:p>
      </w:tc>
    </w:tr>
  </w:tbl>
  <w:p w14:paraId="7F069C2E" w14:textId="77777777" w:rsidR="00EB2CB0" w:rsidRPr="00EB2CB0" w:rsidRDefault="00EB2CB0" w:rsidP="00EB2CB0">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6BF" w14:textId="77777777" w:rsidR="007A552B" w:rsidRDefault="007A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A993" w14:textId="77777777" w:rsidR="006450B3" w:rsidRDefault="006450B3" w:rsidP="00EB2CB0">
      <w:pPr>
        <w:spacing w:after="0" w:line="240" w:lineRule="auto"/>
      </w:pPr>
      <w:r>
        <w:separator/>
      </w:r>
    </w:p>
  </w:footnote>
  <w:footnote w:type="continuationSeparator" w:id="0">
    <w:p w14:paraId="459FEC8A" w14:textId="77777777" w:rsidR="006450B3" w:rsidRDefault="006450B3" w:rsidP="00EB2CB0">
      <w:pPr>
        <w:spacing w:after="0" w:line="240" w:lineRule="auto"/>
      </w:pPr>
      <w:r>
        <w:continuationSeparator/>
      </w:r>
    </w:p>
  </w:footnote>
  <w:footnote w:id="1">
    <w:p w14:paraId="3E278FC7" w14:textId="08CCA018" w:rsidR="00EB2CB0" w:rsidRDefault="00EB2CB0" w:rsidP="00EB2CB0">
      <w:pPr>
        <w:pStyle w:val="FootnoteText"/>
      </w:pPr>
      <w:r>
        <w:rPr>
          <w:rStyle w:val="FootnoteReference"/>
        </w:rPr>
        <w:footnoteRef/>
      </w:r>
      <w:r>
        <w:t xml:space="preserve"> </w:t>
      </w:r>
      <w:r w:rsidRPr="005F2837">
        <w:rPr>
          <w:rFonts w:ascii="Calibri" w:hAnsi="Calibri" w:cs="Calibri"/>
        </w:rPr>
        <w:t xml:space="preserve">European Medicines Agency. Accessed via </w:t>
      </w:r>
      <w:hyperlink r:id="rId1" w:history="1">
        <w:r w:rsidRPr="005F2837">
          <w:rPr>
            <w:rStyle w:val="Hyperlink"/>
            <w:rFonts w:ascii="Calibri" w:hAnsi="Calibri" w:cs="Calibri"/>
          </w:rPr>
          <w:t>www.ema.europa.eu</w:t>
        </w:r>
      </w:hyperlink>
      <w:r w:rsidRPr="005F2837">
        <w:rPr>
          <w:rFonts w:ascii="Calibri" w:hAnsi="Calibri" w:cs="Calibri"/>
        </w:rPr>
        <w:t xml:space="preserve"> on </w:t>
      </w:r>
      <w:r w:rsidR="002648A0">
        <w:rPr>
          <w:rFonts w:ascii="Calibri" w:hAnsi="Calibri" w:cs="Calibri"/>
        </w:rPr>
        <w:t>11</w:t>
      </w:r>
      <w:r w:rsidRPr="005F2837">
        <w:rPr>
          <w:rFonts w:ascii="Calibri" w:hAnsi="Calibri" w:cs="Calibri"/>
        </w:rPr>
        <w:t>/</w:t>
      </w:r>
      <w:r w:rsidR="008B3249">
        <w:rPr>
          <w:rFonts w:ascii="Calibri" w:hAnsi="Calibri" w:cs="Calibri"/>
        </w:rPr>
        <w:t>09</w:t>
      </w:r>
      <w:r w:rsidRPr="005F2837">
        <w:rPr>
          <w:rFonts w:ascii="Calibri" w:hAnsi="Calibri" w:cs="Calibri"/>
        </w:rPr>
        <w:t>/202</w:t>
      </w:r>
      <w:r w:rsidR="008B3249">
        <w:rPr>
          <w:rFonts w:ascii="Calibri" w:hAnsi="Calibri" w:cs="Calibri"/>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83C6" w14:textId="77777777" w:rsidR="007A552B" w:rsidRDefault="007A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7086" w14:textId="3CD689BB" w:rsidR="00EB2CB0" w:rsidRPr="004505CC" w:rsidRDefault="00810A67" w:rsidP="00EB2CB0">
    <w:pPr>
      <w:pStyle w:val="BodyText"/>
      <w:jc w:val="left"/>
      <w:rPr>
        <w:rFonts w:ascii="Arial" w:hAnsi="Arial" w:cs="Arial"/>
        <w:b w:val="0"/>
        <w:sz w:val="22"/>
        <w:szCs w:val="22"/>
      </w:rPr>
    </w:pPr>
    <w:r>
      <w:rPr>
        <w:noProof/>
        <w:lang w:eastAsia="en-GB"/>
      </w:rPr>
      <w:drawing>
        <wp:anchor distT="0" distB="0" distL="114300" distR="114300" simplePos="0" relativeHeight="251658240" behindDoc="0" locked="0" layoutInCell="1" allowOverlap="1" wp14:anchorId="7D36E622" wp14:editId="7AAF943B">
          <wp:simplePos x="0" y="0"/>
          <wp:positionH relativeFrom="margin">
            <wp:posOffset>5981700</wp:posOffset>
          </wp:positionH>
          <wp:positionV relativeFrom="margin">
            <wp:posOffset>-525145</wp:posOffset>
          </wp:positionV>
          <wp:extent cx="605790" cy="436245"/>
          <wp:effectExtent l="0" t="0" r="0" b="0"/>
          <wp:wrapSquare wrapText="bothSides"/>
          <wp:docPr id="1" name="Picture 0" descr="NHSGGC -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HSGGC - logo -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36245"/>
                  </a:xfrm>
                  <a:prstGeom prst="rect">
                    <a:avLst/>
                  </a:prstGeom>
                  <a:noFill/>
                </pic:spPr>
              </pic:pic>
            </a:graphicData>
          </a:graphic>
          <wp14:sizeRelH relativeFrom="page">
            <wp14:pctWidth>0</wp14:pctWidth>
          </wp14:sizeRelH>
          <wp14:sizeRelV relativeFrom="page">
            <wp14:pctHeight>0</wp14:pctHeight>
          </wp14:sizeRelV>
        </wp:anchor>
      </w:drawing>
    </w:r>
    <w:r w:rsidR="112FAA4C" w:rsidRPr="004505CC">
      <w:rPr>
        <w:rFonts w:ascii="Arial" w:hAnsi="Arial" w:cs="Arial"/>
        <w:b w:val="0"/>
        <w:noProof/>
        <w:sz w:val="22"/>
        <w:szCs w:val="22"/>
        <w:lang w:eastAsia="en-GB"/>
      </w:rPr>
      <w:t>NHS Greater Glasgow and Clyde</w:t>
    </w:r>
  </w:p>
  <w:p w14:paraId="63A6897C" w14:textId="4E9AB2FC" w:rsidR="009D1077" w:rsidRPr="00174683" w:rsidRDefault="00EB2CB0" w:rsidP="00EB2CB0">
    <w:pPr>
      <w:pStyle w:val="BodyText"/>
      <w:jc w:val="left"/>
      <w:rPr>
        <w:rFonts w:ascii="Arial" w:hAnsi="Arial" w:cs="Arial"/>
        <w:sz w:val="22"/>
        <w:szCs w:val="22"/>
      </w:rPr>
    </w:pPr>
    <w:r w:rsidRPr="004505CC">
      <w:rPr>
        <w:rFonts w:ascii="Arial" w:hAnsi="Arial" w:cs="Arial"/>
        <w:sz w:val="22"/>
        <w:szCs w:val="22"/>
      </w:rPr>
      <w:t xml:space="preserve">5.8 </w:t>
    </w:r>
    <w:r w:rsidR="00D71684">
      <w:rPr>
        <w:rFonts w:ascii="Arial" w:hAnsi="Arial" w:cs="Arial"/>
        <w:sz w:val="22"/>
        <w:szCs w:val="22"/>
      </w:rPr>
      <w:t>Guidance</w:t>
    </w:r>
    <w:r w:rsidRPr="004505CC">
      <w:rPr>
        <w:rFonts w:ascii="Arial" w:hAnsi="Arial" w:cs="Arial"/>
        <w:sz w:val="22"/>
        <w:szCs w:val="22"/>
      </w:rPr>
      <w:t xml:space="preserve"> for </w:t>
    </w:r>
    <w:r>
      <w:rPr>
        <w:rFonts w:ascii="Arial" w:hAnsi="Arial" w:cs="Arial"/>
        <w:sz w:val="22"/>
        <w:szCs w:val="22"/>
      </w:rPr>
      <w:t>Medicines Access Schemes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2175" w14:textId="77777777" w:rsidR="007A552B" w:rsidRDefault="007A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93D"/>
    <w:multiLevelType w:val="hybridMultilevel"/>
    <w:tmpl w:val="0F9407EC"/>
    <w:lvl w:ilvl="0" w:tplc="B79EA85E">
      <w:start w:val="1"/>
      <w:numFmt w:val="bullet"/>
      <w:lvlText w:val=""/>
      <w:lvlJc w:val="left"/>
      <w:pPr>
        <w:tabs>
          <w:tab w:val="num" w:pos="927"/>
        </w:tabs>
        <w:ind w:left="927" w:hanging="360"/>
      </w:pPr>
      <w:rPr>
        <w:rFonts w:ascii="Wingdings" w:hAnsi="Wingdings"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7BE3E9B"/>
    <w:multiLevelType w:val="multilevel"/>
    <w:tmpl w:val="31329A74"/>
    <w:lvl w:ilvl="0">
      <w:start w:val="1"/>
      <w:numFmt w:val="decimal"/>
      <w:lvlText w:val="%1."/>
      <w:lvlJc w:val="left"/>
      <w:pPr>
        <w:ind w:left="360" w:hanging="360"/>
      </w:pPr>
    </w:lvl>
    <w:lvl w:ilvl="1">
      <w:start w:val="1"/>
      <w:numFmt w:val="decimal"/>
      <w:lvlText w:val="%1.%2."/>
      <w:lvlJc w:val="left"/>
      <w:pPr>
        <w:ind w:left="1080" w:hanging="360"/>
      </w:pPr>
      <w:rPr>
        <w:rFonts w:hint="default"/>
      </w:rPr>
    </w:lvl>
    <w:lvl w:ilvl="2" w:tentative="1">
      <w:start w:val="1"/>
      <w:numFmt w:val="decimal"/>
      <w:lvlText w:val="%1.%2.%3."/>
      <w:lvlJc w:val="left"/>
      <w:pPr>
        <w:ind w:left="1800" w:hanging="18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abstractNum w:abstractNumId="2" w15:restartNumberingAfterBreak="0">
    <w:nsid w:val="38752866"/>
    <w:multiLevelType w:val="hybridMultilevel"/>
    <w:tmpl w:val="379E1B22"/>
    <w:lvl w:ilvl="0" w:tplc="08090005">
      <w:start w:val="1"/>
      <w:numFmt w:val="bullet"/>
      <w:lvlText w:val=""/>
      <w:lvlJc w:val="left"/>
      <w:pPr>
        <w:ind w:left="720" w:hanging="360"/>
      </w:pPr>
      <w:rPr>
        <w:rFonts w:ascii="Wingdings" w:hAnsi="Wingdings" w:hint="default"/>
      </w:rPr>
    </w:lvl>
    <w:lvl w:ilvl="1" w:tplc="93C21AC2">
      <w:start w:val="1"/>
      <w:numFmt w:val="bullet"/>
      <w:lvlText w:val="o"/>
      <w:lvlJc w:val="left"/>
      <w:pPr>
        <w:ind w:left="1440" w:hanging="360"/>
      </w:pPr>
      <w:rPr>
        <w:rFonts w:ascii="Courier New" w:hAnsi="Courier New" w:hint="default"/>
      </w:rPr>
    </w:lvl>
    <w:lvl w:ilvl="2" w:tplc="DE4459EC">
      <w:start w:val="1"/>
      <w:numFmt w:val="bullet"/>
      <w:lvlText w:val=""/>
      <w:lvlJc w:val="left"/>
      <w:pPr>
        <w:ind w:left="2160" w:hanging="360"/>
      </w:pPr>
      <w:rPr>
        <w:rFonts w:ascii="Wingdings" w:hAnsi="Wingdings" w:hint="default"/>
      </w:rPr>
    </w:lvl>
    <w:lvl w:ilvl="3" w:tplc="24C8832A">
      <w:start w:val="1"/>
      <w:numFmt w:val="bullet"/>
      <w:lvlText w:val=""/>
      <w:lvlJc w:val="left"/>
      <w:pPr>
        <w:ind w:left="2880" w:hanging="360"/>
      </w:pPr>
      <w:rPr>
        <w:rFonts w:ascii="Symbol" w:hAnsi="Symbol" w:hint="default"/>
      </w:rPr>
    </w:lvl>
    <w:lvl w:ilvl="4" w:tplc="4688596A">
      <w:start w:val="1"/>
      <w:numFmt w:val="bullet"/>
      <w:lvlText w:val="o"/>
      <w:lvlJc w:val="left"/>
      <w:pPr>
        <w:ind w:left="3600" w:hanging="360"/>
      </w:pPr>
      <w:rPr>
        <w:rFonts w:ascii="Courier New" w:hAnsi="Courier New" w:hint="default"/>
      </w:rPr>
    </w:lvl>
    <w:lvl w:ilvl="5" w:tplc="AE465098">
      <w:start w:val="1"/>
      <w:numFmt w:val="bullet"/>
      <w:lvlText w:val=""/>
      <w:lvlJc w:val="left"/>
      <w:pPr>
        <w:ind w:left="4320" w:hanging="360"/>
      </w:pPr>
      <w:rPr>
        <w:rFonts w:ascii="Wingdings" w:hAnsi="Wingdings" w:hint="default"/>
      </w:rPr>
    </w:lvl>
    <w:lvl w:ilvl="6" w:tplc="456834CA">
      <w:start w:val="1"/>
      <w:numFmt w:val="bullet"/>
      <w:lvlText w:val=""/>
      <w:lvlJc w:val="left"/>
      <w:pPr>
        <w:ind w:left="5040" w:hanging="360"/>
      </w:pPr>
      <w:rPr>
        <w:rFonts w:ascii="Symbol" w:hAnsi="Symbol" w:hint="default"/>
      </w:rPr>
    </w:lvl>
    <w:lvl w:ilvl="7" w:tplc="A9825D28">
      <w:start w:val="1"/>
      <w:numFmt w:val="bullet"/>
      <w:lvlText w:val="o"/>
      <w:lvlJc w:val="left"/>
      <w:pPr>
        <w:ind w:left="5760" w:hanging="360"/>
      </w:pPr>
      <w:rPr>
        <w:rFonts w:ascii="Courier New" w:hAnsi="Courier New" w:hint="default"/>
      </w:rPr>
    </w:lvl>
    <w:lvl w:ilvl="8" w:tplc="5AC00F3E">
      <w:start w:val="1"/>
      <w:numFmt w:val="bullet"/>
      <w:lvlText w:val=""/>
      <w:lvlJc w:val="left"/>
      <w:pPr>
        <w:ind w:left="6480" w:hanging="360"/>
      </w:pPr>
      <w:rPr>
        <w:rFonts w:ascii="Wingdings" w:hAnsi="Wingdings" w:hint="default"/>
      </w:rPr>
    </w:lvl>
  </w:abstractNum>
  <w:abstractNum w:abstractNumId="3" w15:restartNumberingAfterBreak="0">
    <w:nsid w:val="7DF73511"/>
    <w:multiLevelType w:val="multilevel"/>
    <w:tmpl w:val="C8E4667E"/>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829633380">
    <w:abstractNumId w:val="0"/>
  </w:num>
  <w:num w:numId="2" w16cid:durableId="1748577015">
    <w:abstractNumId w:val="1"/>
  </w:num>
  <w:num w:numId="3" w16cid:durableId="1270044792">
    <w:abstractNumId w:val="3"/>
  </w:num>
  <w:num w:numId="4" w16cid:durableId="17121477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B0"/>
    <w:rsid w:val="00004164"/>
    <w:rsid w:val="000070B5"/>
    <w:rsid w:val="0002185C"/>
    <w:rsid w:val="0002686C"/>
    <w:rsid w:val="00034271"/>
    <w:rsid w:val="00044299"/>
    <w:rsid w:val="000524A6"/>
    <w:rsid w:val="00053CA9"/>
    <w:rsid w:val="000629F5"/>
    <w:rsid w:val="00073A33"/>
    <w:rsid w:val="00073CED"/>
    <w:rsid w:val="00075EFA"/>
    <w:rsid w:val="00090418"/>
    <w:rsid w:val="000A0371"/>
    <w:rsid w:val="000B028F"/>
    <w:rsid w:val="000B5774"/>
    <w:rsid w:val="000C29FE"/>
    <w:rsid w:val="000D5EE7"/>
    <w:rsid w:val="000E581A"/>
    <w:rsid w:val="000F1503"/>
    <w:rsid w:val="0010179A"/>
    <w:rsid w:val="00101FF9"/>
    <w:rsid w:val="00110E25"/>
    <w:rsid w:val="0014666B"/>
    <w:rsid w:val="00162E63"/>
    <w:rsid w:val="001654F3"/>
    <w:rsid w:val="00165D90"/>
    <w:rsid w:val="00170C1E"/>
    <w:rsid w:val="00170DE1"/>
    <w:rsid w:val="00174683"/>
    <w:rsid w:val="00174A79"/>
    <w:rsid w:val="001923D6"/>
    <w:rsid w:val="001B4723"/>
    <w:rsid w:val="001C759E"/>
    <w:rsid w:val="001D08F1"/>
    <w:rsid w:val="001D7D48"/>
    <w:rsid w:val="001E040F"/>
    <w:rsid w:val="001E2B16"/>
    <w:rsid w:val="001E42C3"/>
    <w:rsid w:val="001E6B03"/>
    <w:rsid w:val="001F797E"/>
    <w:rsid w:val="00212BAF"/>
    <w:rsid w:val="00221631"/>
    <w:rsid w:val="00222D21"/>
    <w:rsid w:val="00230994"/>
    <w:rsid w:val="002401E5"/>
    <w:rsid w:val="00240E4D"/>
    <w:rsid w:val="00243B1C"/>
    <w:rsid w:val="002543EA"/>
    <w:rsid w:val="002648A0"/>
    <w:rsid w:val="00287A19"/>
    <w:rsid w:val="00297AF9"/>
    <w:rsid w:val="002A25DC"/>
    <w:rsid w:val="002D6D73"/>
    <w:rsid w:val="002E4B87"/>
    <w:rsid w:val="002E64DC"/>
    <w:rsid w:val="002E7066"/>
    <w:rsid w:val="002F0766"/>
    <w:rsid w:val="00300464"/>
    <w:rsid w:val="00304C8E"/>
    <w:rsid w:val="00311BB5"/>
    <w:rsid w:val="00312BB6"/>
    <w:rsid w:val="00313A7F"/>
    <w:rsid w:val="003156C6"/>
    <w:rsid w:val="003277BA"/>
    <w:rsid w:val="00336C12"/>
    <w:rsid w:val="00341ACB"/>
    <w:rsid w:val="003555FB"/>
    <w:rsid w:val="0036523E"/>
    <w:rsid w:val="003671A1"/>
    <w:rsid w:val="00374803"/>
    <w:rsid w:val="00381667"/>
    <w:rsid w:val="003823E9"/>
    <w:rsid w:val="0038350A"/>
    <w:rsid w:val="00386596"/>
    <w:rsid w:val="003957CD"/>
    <w:rsid w:val="003A24ED"/>
    <w:rsid w:val="003A72CC"/>
    <w:rsid w:val="003B3D2E"/>
    <w:rsid w:val="003D2373"/>
    <w:rsid w:val="003E6AB7"/>
    <w:rsid w:val="003F0E3A"/>
    <w:rsid w:val="003F0E3D"/>
    <w:rsid w:val="003F1EAE"/>
    <w:rsid w:val="003F3B0C"/>
    <w:rsid w:val="00401993"/>
    <w:rsid w:val="004030A1"/>
    <w:rsid w:val="00404C25"/>
    <w:rsid w:val="00425F50"/>
    <w:rsid w:val="00432DE9"/>
    <w:rsid w:val="004340C2"/>
    <w:rsid w:val="004511B5"/>
    <w:rsid w:val="00460A0D"/>
    <w:rsid w:val="004812E3"/>
    <w:rsid w:val="00482266"/>
    <w:rsid w:val="00483C8C"/>
    <w:rsid w:val="00486A17"/>
    <w:rsid w:val="00487DDA"/>
    <w:rsid w:val="00487F52"/>
    <w:rsid w:val="004956F0"/>
    <w:rsid w:val="004A19AA"/>
    <w:rsid w:val="004A35DD"/>
    <w:rsid w:val="004A5E44"/>
    <w:rsid w:val="004B7A2E"/>
    <w:rsid w:val="004D3084"/>
    <w:rsid w:val="004E1A9D"/>
    <w:rsid w:val="004F78DB"/>
    <w:rsid w:val="00505C0C"/>
    <w:rsid w:val="00510C63"/>
    <w:rsid w:val="0052085F"/>
    <w:rsid w:val="005351C3"/>
    <w:rsid w:val="005539CB"/>
    <w:rsid w:val="00554104"/>
    <w:rsid w:val="0055530C"/>
    <w:rsid w:val="00561740"/>
    <w:rsid w:val="00562F97"/>
    <w:rsid w:val="00572C43"/>
    <w:rsid w:val="005840C7"/>
    <w:rsid w:val="005A345D"/>
    <w:rsid w:val="005B4F22"/>
    <w:rsid w:val="005BA08E"/>
    <w:rsid w:val="005C0CAC"/>
    <w:rsid w:val="005C1526"/>
    <w:rsid w:val="005C60A7"/>
    <w:rsid w:val="005D78DE"/>
    <w:rsid w:val="005E17F2"/>
    <w:rsid w:val="005F0A88"/>
    <w:rsid w:val="005F228B"/>
    <w:rsid w:val="005F46B9"/>
    <w:rsid w:val="005F6501"/>
    <w:rsid w:val="00600D32"/>
    <w:rsid w:val="00607437"/>
    <w:rsid w:val="006208C9"/>
    <w:rsid w:val="0062595D"/>
    <w:rsid w:val="006448F6"/>
    <w:rsid w:val="006450B3"/>
    <w:rsid w:val="006473F6"/>
    <w:rsid w:val="00647781"/>
    <w:rsid w:val="00652ED4"/>
    <w:rsid w:val="00656A44"/>
    <w:rsid w:val="00661263"/>
    <w:rsid w:val="006625FA"/>
    <w:rsid w:val="006721C1"/>
    <w:rsid w:val="006A760C"/>
    <w:rsid w:val="006D0EE2"/>
    <w:rsid w:val="006D74F8"/>
    <w:rsid w:val="006F779F"/>
    <w:rsid w:val="006F7B69"/>
    <w:rsid w:val="00715C14"/>
    <w:rsid w:val="00716D32"/>
    <w:rsid w:val="00722167"/>
    <w:rsid w:val="007431F8"/>
    <w:rsid w:val="00751385"/>
    <w:rsid w:val="00753C3A"/>
    <w:rsid w:val="00757CD3"/>
    <w:rsid w:val="00757D40"/>
    <w:rsid w:val="007661ED"/>
    <w:rsid w:val="00775795"/>
    <w:rsid w:val="00784A8C"/>
    <w:rsid w:val="00786F96"/>
    <w:rsid w:val="00790407"/>
    <w:rsid w:val="007918C7"/>
    <w:rsid w:val="0079247F"/>
    <w:rsid w:val="007A552B"/>
    <w:rsid w:val="007D491D"/>
    <w:rsid w:val="007D7E37"/>
    <w:rsid w:val="007E77CA"/>
    <w:rsid w:val="00810A67"/>
    <w:rsid w:val="00831386"/>
    <w:rsid w:val="00851F1B"/>
    <w:rsid w:val="00855B0D"/>
    <w:rsid w:val="00860876"/>
    <w:rsid w:val="008609E4"/>
    <w:rsid w:val="00861DD6"/>
    <w:rsid w:val="00867923"/>
    <w:rsid w:val="008703AA"/>
    <w:rsid w:val="008B3249"/>
    <w:rsid w:val="008B5706"/>
    <w:rsid w:val="008C7157"/>
    <w:rsid w:val="008F1102"/>
    <w:rsid w:val="008F7D40"/>
    <w:rsid w:val="0091598D"/>
    <w:rsid w:val="00917F93"/>
    <w:rsid w:val="0093588D"/>
    <w:rsid w:val="00943944"/>
    <w:rsid w:val="009473B3"/>
    <w:rsid w:val="00972D41"/>
    <w:rsid w:val="0097503F"/>
    <w:rsid w:val="00995ED3"/>
    <w:rsid w:val="009A1BD9"/>
    <w:rsid w:val="009A2225"/>
    <w:rsid w:val="009A4C68"/>
    <w:rsid w:val="009C2071"/>
    <w:rsid w:val="009D1077"/>
    <w:rsid w:val="009E2BE8"/>
    <w:rsid w:val="009E7488"/>
    <w:rsid w:val="009F067B"/>
    <w:rsid w:val="00A24B87"/>
    <w:rsid w:val="00A317B9"/>
    <w:rsid w:val="00A3330C"/>
    <w:rsid w:val="00A34D57"/>
    <w:rsid w:val="00A37CC7"/>
    <w:rsid w:val="00A402BD"/>
    <w:rsid w:val="00A55FAF"/>
    <w:rsid w:val="00A624EF"/>
    <w:rsid w:val="00A676D7"/>
    <w:rsid w:val="00A742B6"/>
    <w:rsid w:val="00A77BE7"/>
    <w:rsid w:val="00A81C59"/>
    <w:rsid w:val="00A81D0C"/>
    <w:rsid w:val="00A9305F"/>
    <w:rsid w:val="00AA0272"/>
    <w:rsid w:val="00AA7D61"/>
    <w:rsid w:val="00AC5D51"/>
    <w:rsid w:val="00AD006A"/>
    <w:rsid w:val="00AD0E6A"/>
    <w:rsid w:val="00AD55E4"/>
    <w:rsid w:val="00AE49EA"/>
    <w:rsid w:val="00AF02E8"/>
    <w:rsid w:val="00AF6F75"/>
    <w:rsid w:val="00B071C8"/>
    <w:rsid w:val="00B10543"/>
    <w:rsid w:val="00B124FA"/>
    <w:rsid w:val="00B204E6"/>
    <w:rsid w:val="00B250AF"/>
    <w:rsid w:val="00B44C56"/>
    <w:rsid w:val="00B65645"/>
    <w:rsid w:val="00B82EC7"/>
    <w:rsid w:val="00BC6ED6"/>
    <w:rsid w:val="00BD2C92"/>
    <w:rsid w:val="00BD4254"/>
    <w:rsid w:val="00BF5543"/>
    <w:rsid w:val="00BF7E27"/>
    <w:rsid w:val="00C13AC8"/>
    <w:rsid w:val="00C1581E"/>
    <w:rsid w:val="00C15CF3"/>
    <w:rsid w:val="00C212C7"/>
    <w:rsid w:val="00C2283E"/>
    <w:rsid w:val="00C30E22"/>
    <w:rsid w:val="00C35608"/>
    <w:rsid w:val="00C42EE5"/>
    <w:rsid w:val="00C57741"/>
    <w:rsid w:val="00C57CB1"/>
    <w:rsid w:val="00C70337"/>
    <w:rsid w:val="00C734C1"/>
    <w:rsid w:val="00C81438"/>
    <w:rsid w:val="00C87579"/>
    <w:rsid w:val="00CA4BC2"/>
    <w:rsid w:val="00CA4D8A"/>
    <w:rsid w:val="00CB21E2"/>
    <w:rsid w:val="00CC2335"/>
    <w:rsid w:val="00CF194F"/>
    <w:rsid w:val="00CF7CB1"/>
    <w:rsid w:val="00D00726"/>
    <w:rsid w:val="00D040BF"/>
    <w:rsid w:val="00D05D35"/>
    <w:rsid w:val="00D210FF"/>
    <w:rsid w:val="00D31FC5"/>
    <w:rsid w:val="00D50847"/>
    <w:rsid w:val="00D51372"/>
    <w:rsid w:val="00D60FB3"/>
    <w:rsid w:val="00D71684"/>
    <w:rsid w:val="00D766D5"/>
    <w:rsid w:val="00D901D6"/>
    <w:rsid w:val="00D90A0B"/>
    <w:rsid w:val="00DB23A8"/>
    <w:rsid w:val="00DB6B6E"/>
    <w:rsid w:val="00DC430D"/>
    <w:rsid w:val="00DD7BE8"/>
    <w:rsid w:val="00DE596C"/>
    <w:rsid w:val="00DF0A5A"/>
    <w:rsid w:val="00E1773F"/>
    <w:rsid w:val="00E228C7"/>
    <w:rsid w:val="00E246E1"/>
    <w:rsid w:val="00E30405"/>
    <w:rsid w:val="00E36030"/>
    <w:rsid w:val="00E61599"/>
    <w:rsid w:val="00E75E2B"/>
    <w:rsid w:val="00E93A25"/>
    <w:rsid w:val="00EA63EB"/>
    <w:rsid w:val="00EB26B9"/>
    <w:rsid w:val="00EB2CB0"/>
    <w:rsid w:val="00EB5A8A"/>
    <w:rsid w:val="00EE073F"/>
    <w:rsid w:val="00EE0E6E"/>
    <w:rsid w:val="00EF79B1"/>
    <w:rsid w:val="00F27519"/>
    <w:rsid w:val="00F304A1"/>
    <w:rsid w:val="00F31BEB"/>
    <w:rsid w:val="00F34B47"/>
    <w:rsid w:val="00F5731C"/>
    <w:rsid w:val="00F618B7"/>
    <w:rsid w:val="00F703C4"/>
    <w:rsid w:val="00F74D61"/>
    <w:rsid w:val="00FA7995"/>
    <w:rsid w:val="00FE4E00"/>
    <w:rsid w:val="00FE54CD"/>
    <w:rsid w:val="0152C6AD"/>
    <w:rsid w:val="01B534AD"/>
    <w:rsid w:val="0339D9E1"/>
    <w:rsid w:val="03444691"/>
    <w:rsid w:val="03787DDA"/>
    <w:rsid w:val="037AF0A2"/>
    <w:rsid w:val="04B7A579"/>
    <w:rsid w:val="04DF9D16"/>
    <w:rsid w:val="05D3C427"/>
    <w:rsid w:val="0731271F"/>
    <w:rsid w:val="07E3D41E"/>
    <w:rsid w:val="0853DAAA"/>
    <w:rsid w:val="08C42D00"/>
    <w:rsid w:val="09043040"/>
    <w:rsid w:val="096FC016"/>
    <w:rsid w:val="0995D343"/>
    <w:rsid w:val="0A0FCBC4"/>
    <w:rsid w:val="0A1BB0B0"/>
    <w:rsid w:val="0A71D771"/>
    <w:rsid w:val="0AA13A19"/>
    <w:rsid w:val="0AFF9D40"/>
    <w:rsid w:val="0B0425A6"/>
    <w:rsid w:val="0B32A444"/>
    <w:rsid w:val="0B349C82"/>
    <w:rsid w:val="0BA04B03"/>
    <w:rsid w:val="0BAB9C25"/>
    <w:rsid w:val="0C18B835"/>
    <w:rsid w:val="0D93B8FA"/>
    <w:rsid w:val="0E81A0A1"/>
    <w:rsid w:val="0EB39CAB"/>
    <w:rsid w:val="0F7E986D"/>
    <w:rsid w:val="0FD30E63"/>
    <w:rsid w:val="1047ACCF"/>
    <w:rsid w:val="107C6DFD"/>
    <w:rsid w:val="10835062"/>
    <w:rsid w:val="10DFEDEA"/>
    <w:rsid w:val="112FAA4C"/>
    <w:rsid w:val="120EF75D"/>
    <w:rsid w:val="1215CAD1"/>
    <w:rsid w:val="1265DD1F"/>
    <w:rsid w:val="132475D0"/>
    <w:rsid w:val="133D7010"/>
    <w:rsid w:val="13B58EC5"/>
    <w:rsid w:val="1497E04B"/>
    <w:rsid w:val="14F59192"/>
    <w:rsid w:val="15160BF1"/>
    <w:rsid w:val="15210772"/>
    <w:rsid w:val="15FEBF90"/>
    <w:rsid w:val="17046435"/>
    <w:rsid w:val="177B2D4F"/>
    <w:rsid w:val="18077459"/>
    <w:rsid w:val="186C3574"/>
    <w:rsid w:val="189DA27D"/>
    <w:rsid w:val="191C383A"/>
    <w:rsid w:val="19202761"/>
    <w:rsid w:val="1993CF50"/>
    <w:rsid w:val="1A3C04F7"/>
    <w:rsid w:val="1A76A437"/>
    <w:rsid w:val="1D27E656"/>
    <w:rsid w:val="1E2307DB"/>
    <w:rsid w:val="1F30DB6F"/>
    <w:rsid w:val="1F506371"/>
    <w:rsid w:val="1FC34D22"/>
    <w:rsid w:val="201D6821"/>
    <w:rsid w:val="20BB38A3"/>
    <w:rsid w:val="20D7093B"/>
    <w:rsid w:val="2184E4F2"/>
    <w:rsid w:val="21BAEC3D"/>
    <w:rsid w:val="2356BC9E"/>
    <w:rsid w:val="2377E548"/>
    <w:rsid w:val="23FD4564"/>
    <w:rsid w:val="24A15A1D"/>
    <w:rsid w:val="25004DB3"/>
    <w:rsid w:val="2593570C"/>
    <w:rsid w:val="25E6F91C"/>
    <w:rsid w:val="268A919A"/>
    <w:rsid w:val="27953344"/>
    <w:rsid w:val="28368692"/>
    <w:rsid w:val="288E701F"/>
    <w:rsid w:val="292CD646"/>
    <w:rsid w:val="2959FDFE"/>
    <w:rsid w:val="29B1E0A0"/>
    <w:rsid w:val="29C9CB8A"/>
    <w:rsid w:val="2A213ED4"/>
    <w:rsid w:val="2B5F297E"/>
    <w:rsid w:val="2B6E8948"/>
    <w:rsid w:val="2B8B827D"/>
    <w:rsid w:val="2B99971C"/>
    <w:rsid w:val="2BF6361A"/>
    <w:rsid w:val="2C02E8FD"/>
    <w:rsid w:val="2C69C9B5"/>
    <w:rsid w:val="2C6BE037"/>
    <w:rsid w:val="2CDFCE6F"/>
    <w:rsid w:val="2CE2C2CC"/>
    <w:rsid w:val="2CFA8968"/>
    <w:rsid w:val="2D8911C4"/>
    <w:rsid w:val="2DB69692"/>
    <w:rsid w:val="2DCBA3DC"/>
    <w:rsid w:val="2E7E932D"/>
    <w:rsid w:val="2E84DFC3"/>
    <w:rsid w:val="2F213214"/>
    <w:rsid w:val="2FE1F07F"/>
    <w:rsid w:val="300DD8BC"/>
    <w:rsid w:val="3076CA1A"/>
    <w:rsid w:val="30ED476D"/>
    <w:rsid w:val="313ECE6F"/>
    <w:rsid w:val="31843FBB"/>
    <w:rsid w:val="31A3160F"/>
    <w:rsid w:val="31A56B10"/>
    <w:rsid w:val="31B33F92"/>
    <w:rsid w:val="3209B265"/>
    <w:rsid w:val="328DE487"/>
    <w:rsid w:val="3406E4CA"/>
    <w:rsid w:val="34F0B44B"/>
    <w:rsid w:val="35055442"/>
    <w:rsid w:val="35E8563A"/>
    <w:rsid w:val="368C84AC"/>
    <w:rsid w:val="36AB7291"/>
    <w:rsid w:val="373787FB"/>
    <w:rsid w:val="39780F4E"/>
    <w:rsid w:val="3A4D7EE5"/>
    <w:rsid w:val="3B38BB4D"/>
    <w:rsid w:val="3DA30D61"/>
    <w:rsid w:val="3DD3812C"/>
    <w:rsid w:val="3DD573BD"/>
    <w:rsid w:val="3E2E5E4B"/>
    <w:rsid w:val="3EF502B5"/>
    <w:rsid w:val="3F1BC2F3"/>
    <w:rsid w:val="3F479185"/>
    <w:rsid w:val="3FEF0804"/>
    <w:rsid w:val="40348367"/>
    <w:rsid w:val="411BD7E8"/>
    <w:rsid w:val="425A0ED5"/>
    <w:rsid w:val="4295BBD3"/>
    <w:rsid w:val="4305C937"/>
    <w:rsid w:val="4458F6B0"/>
    <w:rsid w:val="44663578"/>
    <w:rsid w:val="448458EB"/>
    <w:rsid w:val="450BE601"/>
    <w:rsid w:val="451D7145"/>
    <w:rsid w:val="4527AE12"/>
    <w:rsid w:val="45A635CC"/>
    <w:rsid w:val="45D60C50"/>
    <w:rsid w:val="465E4988"/>
    <w:rsid w:val="46C314A0"/>
    <w:rsid w:val="48119D60"/>
    <w:rsid w:val="4885FB9C"/>
    <w:rsid w:val="48D9A215"/>
    <w:rsid w:val="49133F76"/>
    <w:rsid w:val="4936DD59"/>
    <w:rsid w:val="4992E4F6"/>
    <w:rsid w:val="49B96D4B"/>
    <w:rsid w:val="4B79C5C4"/>
    <w:rsid w:val="4C35D2EE"/>
    <w:rsid w:val="4C50A968"/>
    <w:rsid w:val="4C6AF901"/>
    <w:rsid w:val="4C7784D3"/>
    <w:rsid w:val="4C89A571"/>
    <w:rsid w:val="4EBD4F20"/>
    <w:rsid w:val="4F5D1E60"/>
    <w:rsid w:val="4F9894D1"/>
    <w:rsid w:val="50517842"/>
    <w:rsid w:val="509CAB12"/>
    <w:rsid w:val="50F6F683"/>
    <w:rsid w:val="51C82531"/>
    <w:rsid w:val="538E635E"/>
    <w:rsid w:val="544C5EEC"/>
    <w:rsid w:val="549601FA"/>
    <w:rsid w:val="54D53C93"/>
    <w:rsid w:val="54E2B584"/>
    <w:rsid w:val="552CC19D"/>
    <w:rsid w:val="5587E992"/>
    <w:rsid w:val="55F8B2EA"/>
    <w:rsid w:val="55FCA461"/>
    <w:rsid w:val="56397BF4"/>
    <w:rsid w:val="57683045"/>
    <w:rsid w:val="57A12B96"/>
    <w:rsid w:val="58B41837"/>
    <w:rsid w:val="59490600"/>
    <w:rsid w:val="59B36399"/>
    <w:rsid w:val="59E69CFC"/>
    <w:rsid w:val="5A2A64FB"/>
    <w:rsid w:val="5AB2F550"/>
    <w:rsid w:val="5B28A42F"/>
    <w:rsid w:val="5B60ADA5"/>
    <w:rsid w:val="5B7B22E2"/>
    <w:rsid w:val="5BC035D0"/>
    <w:rsid w:val="5BDC85FD"/>
    <w:rsid w:val="5CF25D7A"/>
    <w:rsid w:val="5D1121C1"/>
    <w:rsid w:val="5D21BFF1"/>
    <w:rsid w:val="5E1200B1"/>
    <w:rsid w:val="5EB85648"/>
    <w:rsid w:val="5EBD9052"/>
    <w:rsid w:val="5EE121EC"/>
    <w:rsid w:val="5F4EC8AB"/>
    <w:rsid w:val="5F8A5E4A"/>
    <w:rsid w:val="5FF93F74"/>
    <w:rsid w:val="601A10A9"/>
    <w:rsid w:val="6079B6E5"/>
    <w:rsid w:val="61396E4B"/>
    <w:rsid w:val="62081A57"/>
    <w:rsid w:val="628C4C79"/>
    <w:rsid w:val="62E33190"/>
    <w:rsid w:val="63147974"/>
    <w:rsid w:val="637DF59E"/>
    <w:rsid w:val="63E1E5C7"/>
    <w:rsid w:val="66055831"/>
    <w:rsid w:val="660D3889"/>
    <w:rsid w:val="66630DB2"/>
    <w:rsid w:val="670E146C"/>
    <w:rsid w:val="67927BD2"/>
    <w:rsid w:val="68A83A97"/>
    <w:rsid w:val="68EB6086"/>
    <w:rsid w:val="6948C021"/>
    <w:rsid w:val="694E64FC"/>
    <w:rsid w:val="6974841B"/>
    <w:rsid w:val="6AB2E1DD"/>
    <w:rsid w:val="6B8E9729"/>
    <w:rsid w:val="6BEB596C"/>
    <w:rsid w:val="6C408A5B"/>
    <w:rsid w:val="6C54ED53"/>
    <w:rsid w:val="6C8060E3"/>
    <w:rsid w:val="6D0B8039"/>
    <w:rsid w:val="6D2A1C63"/>
    <w:rsid w:val="6EC637EB"/>
    <w:rsid w:val="6EEA369D"/>
    <w:rsid w:val="70944507"/>
    <w:rsid w:val="70C6DB1D"/>
    <w:rsid w:val="71B5F703"/>
    <w:rsid w:val="72253494"/>
    <w:rsid w:val="72DDC1D9"/>
    <w:rsid w:val="72FB0F3A"/>
    <w:rsid w:val="738298BC"/>
    <w:rsid w:val="73B73221"/>
    <w:rsid w:val="73BBBFAA"/>
    <w:rsid w:val="745790DF"/>
    <w:rsid w:val="7472B00D"/>
    <w:rsid w:val="74A47D89"/>
    <w:rsid w:val="74C3E670"/>
    <w:rsid w:val="753786E2"/>
    <w:rsid w:val="754AE326"/>
    <w:rsid w:val="75E76CA1"/>
    <w:rsid w:val="7615B2EF"/>
    <w:rsid w:val="78A9A157"/>
    <w:rsid w:val="78C30622"/>
    <w:rsid w:val="79129EBC"/>
    <w:rsid w:val="791F0D63"/>
    <w:rsid w:val="79FA3EE8"/>
    <w:rsid w:val="7ADDF582"/>
    <w:rsid w:val="7AFCAD85"/>
    <w:rsid w:val="7B4107A4"/>
    <w:rsid w:val="7B96DF79"/>
    <w:rsid w:val="7BFA293E"/>
    <w:rsid w:val="7C413B7F"/>
    <w:rsid w:val="7C9EB93E"/>
    <w:rsid w:val="7E33BDDA"/>
    <w:rsid w:val="7E478443"/>
    <w:rsid w:val="7E6C0587"/>
    <w:rsid w:val="7EFE26E7"/>
    <w:rsid w:val="7FD65A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A5134"/>
  <w15:chartTrackingRefBased/>
  <w15:docId w15:val="{72ED024C-2210-4677-9F21-E4C60BC1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CB0"/>
    <w:pPr>
      <w:tabs>
        <w:tab w:val="center" w:pos="4513"/>
        <w:tab w:val="right" w:pos="9026"/>
      </w:tabs>
    </w:pPr>
  </w:style>
  <w:style w:type="character" w:customStyle="1" w:styleId="HeaderChar">
    <w:name w:val="Header Char"/>
    <w:link w:val="Header"/>
    <w:uiPriority w:val="99"/>
    <w:rsid w:val="00EB2CB0"/>
    <w:rPr>
      <w:sz w:val="22"/>
      <w:szCs w:val="22"/>
      <w:lang w:eastAsia="en-US"/>
    </w:rPr>
  </w:style>
  <w:style w:type="paragraph" w:styleId="Footer">
    <w:name w:val="footer"/>
    <w:basedOn w:val="Normal"/>
    <w:link w:val="FooterChar"/>
    <w:uiPriority w:val="99"/>
    <w:unhideWhenUsed/>
    <w:rsid w:val="00EB2CB0"/>
    <w:pPr>
      <w:tabs>
        <w:tab w:val="center" w:pos="4513"/>
        <w:tab w:val="right" w:pos="9026"/>
      </w:tabs>
    </w:pPr>
  </w:style>
  <w:style w:type="character" w:customStyle="1" w:styleId="FooterChar">
    <w:name w:val="Footer Char"/>
    <w:link w:val="Footer"/>
    <w:uiPriority w:val="99"/>
    <w:rsid w:val="00EB2CB0"/>
    <w:rPr>
      <w:sz w:val="22"/>
      <w:szCs w:val="22"/>
      <w:lang w:eastAsia="en-US"/>
    </w:rPr>
  </w:style>
  <w:style w:type="paragraph" w:styleId="BodyText">
    <w:name w:val="Body Text"/>
    <w:basedOn w:val="Normal"/>
    <w:link w:val="BodyTextChar"/>
    <w:uiPriority w:val="99"/>
    <w:rsid w:val="00EB2CB0"/>
    <w:pPr>
      <w:spacing w:after="0" w:line="240" w:lineRule="auto"/>
      <w:jc w:val="center"/>
    </w:pPr>
    <w:rPr>
      <w:rFonts w:ascii="Times New Roman" w:eastAsia="Times New Roman" w:hAnsi="Times New Roman"/>
      <w:b/>
      <w:sz w:val="24"/>
      <w:szCs w:val="20"/>
    </w:rPr>
  </w:style>
  <w:style w:type="character" w:customStyle="1" w:styleId="BodyTextChar">
    <w:name w:val="Body Text Char"/>
    <w:link w:val="BodyText"/>
    <w:uiPriority w:val="99"/>
    <w:rsid w:val="00EB2CB0"/>
    <w:rPr>
      <w:rFonts w:ascii="Times New Roman" w:eastAsia="Times New Roman" w:hAnsi="Times New Roman"/>
      <w:b/>
      <w:sz w:val="24"/>
      <w:lang w:eastAsia="en-US"/>
    </w:rPr>
  </w:style>
  <w:style w:type="character" w:styleId="Hyperlink">
    <w:name w:val="Hyperlink"/>
    <w:rsid w:val="00EB2CB0"/>
    <w:rPr>
      <w:color w:val="0000FF"/>
      <w:u w:val="single"/>
    </w:rPr>
  </w:style>
  <w:style w:type="paragraph" w:styleId="CommentText">
    <w:name w:val="annotation text"/>
    <w:basedOn w:val="Normal"/>
    <w:link w:val="CommentTextChar"/>
    <w:semiHidden/>
    <w:rsid w:val="00EB2CB0"/>
    <w:pPr>
      <w:spacing w:after="0" w:line="240" w:lineRule="auto"/>
    </w:pPr>
    <w:rPr>
      <w:rFonts w:ascii="Times New Roman" w:eastAsia="Times New Roman" w:hAnsi="Times New Roman"/>
      <w:sz w:val="20"/>
      <w:szCs w:val="20"/>
      <w:lang w:eastAsia="en-GB"/>
    </w:rPr>
  </w:style>
  <w:style w:type="character" w:customStyle="1" w:styleId="CommentTextChar">
    <w:name w:val="Comment Text Char"/>
    <w:link w:val="CommentText"/>
    <w:semiHidden/>
    <w:rsid w:val="00EB2CB0"/>
    <w:rPr>
      <w:rFonts w:ascii="Times New Roman" w:eastAsia="Times New Roman" w:hAnsi="Times New Roman"/>
    </w:rPr>
  </w:style>
  <w:style w:type="character" w:styleId="CommentReference">
    <w:name w:val="annotation reference"/>
    <w:semiHidden/>
    <w:rsid w:val="00EB2CB0"/>
    <w:rPr>
      <w:sz w:val="16"/>
      <w:szCs w:val="16"/>
    </w:rPr>
  </w:style>
  <w:style w:type="paragraph" w:styleId="FootnoteText">
    <w:name w:val="footnote text"/>
    <w:basedOn w:val="Normal"/>
    <w:link w:val="FootnoteTextChar"/>
    <w:rsid w:val="00EB2CB0"/>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rsid w:val="00EB2CB0"/>
    <w:rPr>
      <w:rFonts w:ascii="Times New Roman" w:eastAsia="Times New Roman" w:hAnsi="Times New Roman"/>
    </w:rPr>
  </w:style>
  <w:style w:type="character" w:styleId="FootnoteReference">
    <w:name w:val="footnote reference"/>
    <w:rsid w:val="00EB2CB0"/>
    <w:rPr>
      <w:vertAlign w:val="superscript"/>
    </w:rPr>
  </w:style>
  <w:style w:type="paragraph" w:styleId="BalloonText">
    <w:name w:val="Balloon Text"/>
    <w:basedOn w:val="Normal"/>
    <w:link w:val="BalloonTextChar"/>
    <w:uiPriority w:val="99"/>
    <w:semiHidden/>
    <w:unhideWhenUsed/>
    <w:rsid w:val="00EB2C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2CB0"/>
    <w:rPr>
      <w:rFonts w:ascii="Segoe UI" w:hAnsi="Segoe UI" w:cs="Segoe UI"/>
      <w:sz w:val="18"/>
      <w:szCs w:val="18"/>
      <w:lang w:eastAsia="en-US"/>
    </w:rPr>
  </w:style>
  <w:style w:type="character" w:styleId="PageNumber">
    <w:name w:val="page number"/>
    <w:uiPriority w:val="99"/>
    <w:rsid w:val="00EB2CB0"/>
  </w:style>
  <w:style w:type="paragraph" w:styleId="ListParagraph">
    <w:name w:val="List Paragraph"/>
    <w:basedOn w:val="Normal"/>
    <w:uiPriority w:val="34"/>
    <w:qFormat/>
    <w:rsid w:val="00EB2CB0"/>
    <w:pPr>
      <w:spacing w:after="0" w:line="240" w:lineRule="auto"/>
      <w:ind w:left="720"/>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070B5"/>
    <w:pPr>
      <w:spacing w:after="160" w:line="259"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0070B5"/>
    <w:rPr>
      <w:rFonts w:ascii="Times New Roman" w:eastAsia="Times New Roman" w:hAnsi="Times New Roman"/>
      <w:b/>
      <w:bCs/>
      <w:lang w:eastAsia="en-US"/>
    </w:rPr>
  </w:style>
  <w:style w:type="character" w:customStyle="1" w:styleId="normaltextrun">
    <w:name w:val="normaltextrun"/>
    <w:rsid w:val="00A81C59"/>
  </w:style>
  <w:style w:type="paragraph" w:customStyle="1" w:styleId="paragraph">
    <w:name w:val="paragraph"/>
    <w:basedOn w:val="Normal"/>
    <w:rsid w:val="004B7A2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rsid w:val="004B7A2E"/>
  </w:style>
  <w:style w:type="character" w:customStyle="1" w:styleId="pagebreaktextspan">
    <w:name w:val="pagebreaktextspan"/>
    <w:rsid w:val="004B7A2E"/>
  </w:style>
  <w:style w:type="table" w:styleId="TableGrid">
    <w:name w:val="Table Grid"/>
    <w:basedOn w:val="TableNormal"/>
    <w:uiPriority w:val="39"/>
    <w:rsid w:val="00644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9F5"/>
    <w:rPr>
      <w:sz w:val="22"/>
      <w:szCs w:val="22"/>
      <w:lang w:eastAsia="en-US"/>
    </w:rPr>
  </w:style>
  <w:style w:type="character" w:customStyle="1" w:styleId="UnresolvedMention1">
    <w:name w:val="Unresolved Mention1"/>
    <w:basedOn w:val="DefaultParagraphFont"/>
    <w:uiPriority w:val="99"/>
    <w:semiHidden/>
    <w:unhideWhenUsed/>
    <w:rsid w:val="004A35DD"/>
    <w:rPr>
      <w:color w:val="605E5C"/>
      <w:shd w:val="clear" w:color="auto" w:fill="E1DFDD"/>
    </w:rPr>
  </w:style>
  <w:style w:type="character" w:styleId="FollowedHyperlink">
    <w:name w:val="FollowedHyperlink"/>
    <w:basedOn w:val="DefaultParagraphFont"/>
    <w:uiPriority w:val="99"/>
    <w:semiHidden/>
    <w:unhideWhenUsed/>
    <w:rsid w:val="0091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18123">
      <w:bodyDiv w:val="1"/>
      <w:marLeft w:val="0"/>
      <w:marRight w:val="0"/>
      <w:marTop w:val="0"/>
      <w:marBottom w:val="0"/>
      <w:divBdr>
        <w:top w:val="none" w:sz="0" w:space="0" w:color="auto"/>
        <w:left w:val="none" w:sz="0" w:space="0" w:color="auto"/>
        <w:bottom w:val="none" w:sz="0" w:space="0" w:color="auto"/>
        <w:right w:val="none" w:sz="0" w:space="0" w:color="auto"/>
      </w:divBdr>
      <w:divsChild>
        <w:div w:id="10955536">
          <w:marLeft w:val="0"/>
          <w:marRight w:val="0"/>
          <w:marTop w:val="0"/>
          <w:marBottom w:val="0"/>
          <w:divBdr>
            <w:top w:val="none" w:sz="0" w:space="0" w:color="auto"/>
            <w:left w:val="none" w:sz="0" w:space="0" w:color="auto"/>
            <w:bottom w:val="none" w:sz="0" w:space="0" w:color="auto"/>
            <w:right w:val="none" w:sz="0" w:space="0" w:color="auto"/>
          </w:divBdr>
          <w:divsChild>
            <w:div w:id="173151036">
              <w:marLeft w:val="0"/>
              <w:marRight w:val="0"/>
              <w:marTop w:val="0"/>
              <w:marBottom w:val="0"/>
              <w:divBdr>
                <w:top w:val="none" w:sz="0" w:space="0" w:color="auto"/>
                <w:left w:val="none" w:sz="0" w:space="0" w:color="auto"/>
                <w:bottom w:val="none" w:sz="0" w:space="0" w:color="auto"/>
                <w:right w:val="none" w:sz="0" w:space="0" w:color="auto"/>
              </w:divBdr>
            </w:div>
            <w:div w:id="482544712">
              <w:marLeft w:val="0"/>
              <w:marRight w:val="0"/>
              <w:marTop w:val="0"/>
              <w:marBottom w:val="0"/>
              <w:divBdr>
                <w:top w:val="none" w:sz="0" w:space="0" w:color="auto"/>
                <w:left w:val="none" w:sz="0" w:space="0" w:color="auto"/>
                <w:bottom w:val="none" w:sz="0" w:space="0" w:color="auto"/>
                <w:right w:val="none" w:sz="0" w:space="0" w:color="auto"/>
              </w:divBdr>
            </w:div>
            <w:div w:id="1082333908">
              <w:marLeft w:val="0"/>
              <w:marRight w:val="0"/>
              <w:marTop w:val="0"/>
              <w:marBottom w:val="0"/>
              <w:divBdr>
                <w:top w:val="none" w:sz="0" w:space="0" w:color="auto"/>
                <w:left w:val="none" w:sz="0" w:space="0" w:color="auto"/>
                <w:bottom w:val="none" w:sz="0" w:space="0" w:color="auto"/>
                <w:right w:val="none" w:sz="0" w:space="0" w:color="auto"/>
              </w:divBdr>
            </w:div>
            <w:div w:id="1445609126">
              <w:marLeft w:val="0"/>
              <w:marRight w:val="0"/>
              <w:marTop w:val="0"/>
              <w:marBottom w:val="0"/>
              <w:divBdr>
                <w:top w:val="none" w:sz="0" w:space="0" w:color="auto"/>
                <w:left w:val="none" w:sz="0" w:space="0" w:color="auto"/>
                <w:bottom w:val="none" w:sz="0" w:space="0" w:color="auto"/>
                <w:right w:val="none" w:sz="0" w:space="0" w:color="auto"/>
              </w:divBdr>
            </w:div>
          </w:divsChild>
        </w:div>
        <w:div w:id="69888033">
          <w:marLeft w:val="0"/>
          <w:marRight w:val="0"/>
          <w:marTop w:val="0"/>
          <w:marBottom w:val="0"/>
          <w:divBdr>
            <w:top w:val="none" w:sz="0" w:space="0" w:color="auto"/>
            <w:left w:val="none" w:sz="0" w:space="0" w:color="auto"/>
            <w:bottom w:val="none" w:sz="0" w:space="0" w:color="auto"/>
            <w:right w:val="none" w:sz="0" w:space="0" w:color="auto"/>
          </w:divBdr>
        </w:div>
        <w:div w:id="86119846">
          <w:marLeft w:val="0"/>
          <w:marRight w:val="0"/>
          <w:marTop w:val="0"/>
          <w:marBottom w:val="0"/>
          <w:divBdr>
            <w:top w:val="none" w:sz="0" w:space="0" w:color="auto"/>
            <w:left w:val="none" w:sz="0" w:space="0" w:color="auto"/>
            <w:bottom w:val="none" w:sz="0" w:space="0" w:color="auto"/>
            <w:right w:val="none" w:sz="0" w:space="0" w:color="auto"/>
          </w:divBdr>
        </w:div>
        <w:div w:id="154886032">
          <w:marLeft w:val="0"/>
          <w:marRight w:val="0"/>
          <w:marTop w:val="0"/>
          <w:marBottom w:val="0"/>
          <w:divBdr>
            <w:top w:val="none" w:sz="0" w:space="0" w:color="auto"/>
            <w:left w:val="none" w:sz="0" w:space="0" w:color="auto"/>
            <w:bottom w:val="none" w:sz="0" w:space="0" w:color="auto"/>
            <w:right w:val="none" w:sz="0" w:space="0" w:color="auto"/>
          </w:divBdr>
        </w:div>
        <w:div w:id="177547150">
          <w:marLeft w:val="0"/>
          <w:marRight w:val="0"/>
          <w:marTop w:val="0"/>
          <w:marBottom w:val="0"/>
          <w:divBdr>
            <w:top w:val="none" w:sz="0" w:space="0" w:color="auto"/>
            <w:left w:val="none" w:sz="0" w:space="0" w:color="auto"/>
            <w:bottom w:val="none" w:sz="0" w:space="0" w:color="auto"/>
            <w:right w:val="none" w:sz="0" w:space="0" w:color="auto"/>
          </w:divBdr>
          <w:divsChild>
            <w:div w:id="394355850">
              <w:marLeft w:val="0"/>
              <w:marRight w:val="0"/>
              <w:marTop w:val="0"/>
              <w:marBottom w:val="0"/>
              <w:divBdr>
                <w:top w:val="none" w:sz="0" w:space="0" w:color="auto"/>
                <w:left w:val="none" w:sz="0" w:space="0" w:color="auto"/>
                <w:bottom w:val="none" w:sz="0" w:space="0" w:color="auto"/>
                <w:right w:val="none" w:sz="0" w:space="0" w:color="auto"/>
              </w:divBdr>
            </w:div>
            <w:div w:id="543366421">
              <w:marLeft w:val="0"/>
              <w:marRight w:val="0"/>
              <w:marTop w:val="0"/>
              <w:marBottom w:val="0"/>
              <w:divBdr>
                <w:top w:val="none" w:sz="0" w:space="0" w:color="auto"/>
                <w:left w:val="none" w:sz="0" w:space="0" w:color="auto"/>
                <w:bottom w:val="none" w:sz="0" w:space="0" w:color="auto"/>
                <w:right w:val="none" w:sz="0" w:space="0" w:color="auto"/>
              </w:divBdr>
            </w:div>
            <w:div w:id="1038049478">
              <w:marLeft w:val="0"/>
              <w:marRight w:val="0"/>
              <w:marTop w:val="0"/>
              <w:marBottom w:val="0"/>
              <w:divBdr>
                <w:top w:val="none" w:sz="0" w:space="0" w:color="auto"/>
                <w:left w:val="none" w:sz="0" w:space="0" w:color="auto"/>
                <w:bottom w:val="none" w:sz="0" w:space="0" w:color="auto"/>
                <w:right w:val="none" w:sz="0" w:space="0" w:color="auto"/>
              </w:divBdr>
            </w:div>
            <w:div w:id="1087920258">
              <w:marLeft w:val="0"/>
              <w:marRight w:val="0"/>
              <w:marTop w:val="0"/>
              <w:marBottom w:val="0"/>
              <w:divBdr>
                <w:top w:val="none" w:sz="0" w:space="0" w:color="auto"/>
                <w:left w:val="none" w:sz="0" w:space="0" w:color="auto"/>
                <w:bottom w:val="none" w:sz="0" w:space="0" w:color="auto"/>
                <w:right w:val="none" w:sz="0" w:space="0" w:color="auto"/>
              </w:divBdr>
            </w:div>
          </w:divsChild>
        </w:div>
        <w:div w:id="329911910">
          <w:marLeft w:val="0"/>
          <w:marRight w:val="0"/>
          <w:marTop w:val="0"/>
          <w:marBottom w:val="0"/>
          <w:divBdr>
            <w:top w:val="none" w:sz="0" w:space="0" w:color="auto"/>
            <w:left w:val="none" w:sz="0" w:space="0" w:color="auto"/>
            <w:bottom w:val="none" w:sz="0" w:space="0" w:color="auto"/>
            <w:right w:val="none" w:sz="0" w:space="0" w:color="auto"/>
          </w:divBdr>
        </w:div>
        <w:div w:id="479463686">
          <w:marLeft w:val="0"/>
          <w:marRight w:val="0"/>
          <w:marTop w:val="0"/>
          <w:marBottom w:val="0"/>
          <w:divBdr>
            <w:top w:val="none" w:sz="0" w:space="0" w:color="auto"/>
            <w:left w:val="none" w:sz="0" w:space="0" w:color="auto"/>
            <w:bottom w:val="none" w:sz="0" w:space="0" w:color="auto"/>
            <w:right w:val="none" w:sz="0" w:space="0" w:color="auto"/>
          </w:divBdr>
          <w:divsChild>
            <w:div w:id="409812006">
              <w:marLeft w:val="0"/>
              <w:marRight w:val="0"/>
              <w:marTop w:val="0"/>
              <w:marBottom w:val="0"/>
              <w:divBdr>
                <w:top w:val="none" w:sz="0" w:space="0" w:color="auto"/>
                <w:left w:val="none" w:sz="0" w:space="0" w:color="auto"/>
                <w:bottom w:val="none" w:sz="0" w:space="0" w:color="auto"/>
                <w:right w:val="none" w:sz="0" w:space="0" w:color="auto"/>
              </w:divBdr>
            </w:div>
            <w:div w:id="519702702">
              <w:marLeft w:val="0"/>
              <w:marRight w:val="0"/>
              <w:marTop w:val="0"/>
              <w:marBottom w:val="0"/>
              <w:divBdr>
                <w:top w:val="none" w:sz="0" w:space="0" w:color="auto"/>
                <w:left w:val="none" w:sz="0" w:space="0" w:color="auto"/>
                <w:bottom w:val="none" w:sz="0" w:space="0" w:color="auto"/>
                <w:right w:val="none" w:sz="0" w:space="0" w:color="auto"/>
              </w:divBdr>
            </w:div>
            <w:div w:id="758604687">
              <w:marLeft w:val="0"/>
              <w:marRight w:val="0"/>
              <w:marTop w:val="0"/>
              <w:marBottom w:val="0"/>
              <w:divBdr>
                <w:top w:val="none" w:sz="0" w:space="0" w:color="auto"/>
                <w:left w:val="none" w:sz="0" w:space="0" w:color="auto"/>
                <w:bottom w:val="none" w:sz="0" w:space="0" w:color="auto"/>
                <w:right w:val="none" w:sz="0" w:space="0" w:color="auto"/>
              </w:divBdr>
            </w:div>
            <w:div w:id="1808083924">
              <w:marLeft w:val="0"/>
              <w:marRight w:val="0"/>
              <w:marTop w:val="0"/>
              <w:marBottom w:val="0"/>
              <w:divBdr>
                <w:top w:val="none" w:sz="0" w:space="0" w:color="auto"/>
                <w:left w:val="none" w:sz="0" w:space="0" w:color="auto"/>
                <w:bottom w:val="none" w:sz="0" w:space="0" w:color="auto"/>
                <w:right w:val="none" w:sz="0" w:space="0" w:color="auto"/>
              </w:divBdr>
            </w:div>
            <w:div w:id="1914925483">
              <w:marLeft w:val="0"/>
              <w:marRight w:val="0"/>
              <w:marTop w:val="0"/>
              <w:marBottom w:val="0"/>
              <w:divBdr>
                <w:top w:val="none" w:sz="0" w:space="0" w:color="auto"/>
                <w:left w:val="none" w:sz="0" w:space="0" w:color="auto"/>
                <w:bottom w:val="none" w:sz="0" w:space="0" w:color="auto"/>
                <w:right w:val="none" w:sz="0" w:space="0" w:color="auto"/>
              </w:divBdr>
            </w:div>
          </w:divsChild>
        </w:div>
        <w:div w:id="516768588">
          <w:marLeft w:val="0"/>
          <w:marRight w:val="0"/>
          <w:marTop w:val="0"/>
          <w:marBottom w:val="0"/>
          <w:divBdr>
            <w:top w:val="none" w:sz="0" w:space="0" w:color="auto"/>
            <w:left w:val="none" w:sz="0" w:space="0" w:color="auto"/>
            <w:bottom w:val="none" w:sz="0" w:space="0" w:color="auto"/>
            <w:right w:val="none" w:sz="0" w:space="0" w:color="auto"/>
          </w:divBdr>
        </w:div>
        <w:div w:id="596409494">
          <w:marLeft w:val="0"/>
          <w:marRight w:val="0"/>
          <w:marTop w:val="0"/>
          <w:marBottom w:val="0"/>
          <w:divBdr>
            <w:top w:val="none" w:sz="0" w:space="0" w:color="auto"/>
            <w:left w:val="none" w:sz="0" w:space="0" w:color="auto"/>
            <w:bottom w:val="none" w:sz="0" w:space="0" w:color="auto"/>
            <w:right w:val="none" w:sz="0" w:space="0" w:color="auto"/>
          </w:divBdr>
        </w:div>
        <w:div w:id="720709117">
          <w:marLeft w:val="0"/>
          <w:marRight w:val="0"/>
          <w:marTop w:val="0"/>
          <w:marBottom w:val="0"/>
          <w:divBdr>
            <w:top w:val="none" w:sz="0" w:space="0" w:color="auto"/>
            <w:left w:val="none" w:sz="0" w:space="0" w:color="auto"/>
            <w:bottom w:val="none" w:sz="0" w:space="0" w:color="auto"/>
            <w:right w:val="none" w:sz="0" w:space="0" w:color="auto"/>
          </w:divBdr>
          <w:divsChild>
            <w:div w:id="377633975">
              <w:marLeft w:val="0"/>
              <w:marRight w:val="0"/>
              <w:marTop w:val="0"/>
              <w:marBottom w:val="0"/>
              <w:divBdr>
                <w:top w:val="none" w:sz="0" w:space="0" w:color="auto"/>
                <w:left w:val="none" w:sz="0" w:space="0" w:color="auto"/>
                <w:bottom w:val="none" w:sz="0" w:space="0" w:color="auto"/>
                <w:right w:val="none" w:sz="0" w:space="0" w:color="auto"/>
              </w:divBdr>
            </w:div>
            <w:div w:id="1168835855">
              <w:marLeft w:val="0"/>
              <w:marRight w:val="0"/>
              <w:marTop w:val="0"/>
              <w:marBottom w:val="0"/>
              <w:divBdr>
                <w:top w:val="none" w:sz="0" w:space="0" w:color="auto"/>
                <w:left w:val="none" w:sz="0" w:space="0" w:color="auto"/>
                <w:bottom w:val="none" w:sz="0" w:space="0" w:color="auto"/>
                <w:right w:val="none" w:sz="0" w:space="0" w:color="auto"/>
              </w:divBdr>
            </w:div>
            <w:div w:id="1497115764">
              <w:marLeft w:val="0"/>
              <w:marRight w:val="0"/>
              <w:marTop w:val="0"/>
              <w:marBottom w:val="0"/>
              <w:divBdr>
                <w:top w:val="none" w:sz="0" w:space="0" w:color="auto"/>
                <w:left w:val="none" w:sz="0" w:space="0" w:color="auto"/>
                <w:bottom w:val="none" w:sz="0" w:space="0" w:color="auto"/>
                <w:right w:val="none" w:sz="0" w:space="0" w:color="auto"/>
              </w:divBdr>
            </w:div>
            <w:div w:id="2007006344">
              <w:marLeft w:val="0"/>
              <w:marRight w:val="0"/>
              <w:marTop w:val="0"/>
              <w:marBottom w:val="0"/>
              <w:divBdr>
                <w:top w:val="none" w:sz="0" w:space="0" w:color="auto"/>
                <w:left w:val="none" w:sz="0" w:space="0" w:color="auto"/>
                <w:bottom w:val="none" w:sz="0" w:space="0" w:color="auto"/>
                <w:right w:val="none" w:sz="0" w:space="0" w:color="auto"/>
              </w:divBdr>
            </w:div>
          </w:divsChild>
        </w:div>
        <w:div w:id="887953893">
          <w:marLeft w:val="0"/>
          <w:marRight w:val="0"/>
          <w:marTop w:val="0"/>
          <w:marBottom w:val="0"/>
          <w:divBdr>
            <w:top w:val="none" w:sz="0" w:space="0" w:color="auto"/>
            <w:left w:val="none" w:sz="0" w:space="0" w:color="auto"/>
            <w:bottom w:val="none" w:sz="0" w:space="0" w:color="auto"/>
            <w:right w:val="none" w:sz="0" w:space="0" w:color="auto"/>
          </w:divBdr>
        </w:div>
        <w:div w:id="988481033">
          <w:marLeft w:val="0"/>
          <w:marRight w:val="0"/>
          <w:marTop w:val="0"/>
          <w:marBottom w:val="0"/>
          <w:divBdr>
            <w:top w:val="none" w:sz="0" w:space="0" w:color="auto"/>
            <w:left w:val="none" w:sz="0" w:space="0" w:color="auto"/>
            <w:bottom w:val="none" w:sz="0" w:space="0" w:color="auto"/>
            <w:right w:val="none" w:sz="0" w:space="0" w:color="auto"/>
          </w:divBdr>
          <w:divsChild>
            <w:div w:id="491028423">
              <w:marLeft w:val="0"/>
              <w:marRight w:val="0"/>
              <w:marTop w:val="0"/>
              <w:marBottom w:val="0"/>
              <w:divBdr>
                <w:top w:val="none" w:sz="0" w:space="0" w:color="auto"/>
                <w:left w:val="none" w:sz="0" w:space="0" w:color="auto"/>
                <w:bottom w:val="none" w:sz="0" w:space="0" w:color="auto"/>
                <w:right w:val="none" w:sz="0" w:space="0" w:color="auto"/>
              </w:divBdr>
            </w:div>
            <w:div w:id="970131124">
              <w:marLeft w:val="0"/>
              <w:marRight w:val="0"/>
              <w:marTop w:val="0"/>
              <w:marBottom w:val="0"/>
              <w:divBdr>
                <w:top w:val="none" w:sz="0" w:space="0" w:color="auto"/>
                <w:left w:val="none" w:sz="0" w:space="0" w:color="auto"/>
                <w:bottom w:val="none" w:sz="0" w:space="0" w:color="auto"/>
                <w:right w:val="none" w:sz="0" w:space="0" w:color="auto"/>
              </w:divBdr>
            </w:div>
            <w:div w:id="1012029995">
              <w:marLeft w:val="0"/>
              <w:marRight w:val="0"/>
              <w:marTop w:val="0"/>
              <w:marBottom w:val="0"/>
              <w:divBdr>
                <w:top w:val="none" w:sz="0" w:space="0" w:color="auto"/>
                <w:left w:val="none" w:sz="0" w:space="0" w:color="auto"/>
                <w:bottom w:val="none" w:sz="0" w:space="0" w:color="auto"/>
                <w:right w:val="none" w:sz="0" w:space="0" w:color="auto"/>
              </w:divBdr>
            </w:div>
            <w:div w:id="1428386460">
              <w:marLeft w:val="0"/>
              <w:marRight w:val="0"/>
              <w:marTop w:val="0"/>
              <w:marBottom w:val="0"/>
              <w:divBdr>
                <w:top w:val="none" w:sz="0" w:space="0" w:color="auto"/>
                <w:left w:val="none" w:sz="0" w:space="0" w:color="auto"/>
                <w:bottom w:val="none" w:sz="0" w:space="0" w:color="auto"/>
                <w:right w:val="none" w:sz="0" w:space="0" w:color="auto"/>
              </w:divBdr>
            </w:div>
            <w:div w:id="1550267839">
              <w:marLeft w:val="0"/>
              <w:marRight w:val="0"/>
              <w:marTop w:val="0"/>
              <w:marBottom w:val="0"/>
              <w:divBdr>
                <w:top w:val="none" w:sz="0" w:space="0" w:color="auto"/>
                <w:left w:val="none" w:sz="0" w:space="0" w:color="auto"/>
                <w:bottom w:val="none" w:sz="0" w:space="0" w:color="auto"/>
                <w:right w:val="none" w:sz="0" w:space="0" w:color="auto"/>
              </w:divBdr>
            </w:div>
          </w:divsChild>
        </w:div>
        <w:div w:id="1136337496">
          <w:marLeft w:val="0"/>
          <w:marRight w:val="0"/>
          <w:marTop w:val="0"/>
          <w:marBottom w:val="0"/>
          <w:divBdr>
            <w:top w:val="none" w:sz="0" w:space="0" w:color="auto"/>
            <w:left w:val="none" w:sz="0" w:space="0" w:color="auto"/>
            <w:bottom w:val="none" w:sz="0" w:space="0" w:color="auto"/>
            <w:right w:val="none" w:sz="0" w:space="0" w:color="auto"/>
          </w:divBdr>
        </w:div>
        <w:div w:id="1215508624">
          <w:marLeft w:val="0"/>
          <w:marRight w:val="0"/>
          <w:marTop w:val="0"/>
          <w:marBottom w:val="0"/>
          <w:divBdr>
            <w:top w:val="none" w:sz="0" w:space="0" w:color="auto"/>
            <w:left w:val="none" w:sz="0" w:space="0" w:color="auto"/>
            <w:bottom w:val="none" w:sz="0" w:space="0" w:color="auto"/>
            <w:right w:val="none" w:sz="0" w:space="0" w:color="auto"/>
          </w:divBdr>
          <w:divsChild>
            <w:div w:id="390857984">
              <w:marLeft w:val="0"/>
              <w:marRight w:val="0"/>
              <w:marTop w:val="0"/>
              <w:marBottom w:val="0"/>
              <w:divBdr>
                <w:top w:val="none" w:sz="0" w:space="0" w:color="auto"/>
                <w:left w:val="none" w:sz="0" w:space="0" w:color="auto"/>
                <w:bottom w:val="none" w:sz="0" w:space="0" w:color="auto"/>
                <w:right w:val="none" w:sz="0" w:space="0" w:color="auto"/>
              </w:divBdr>
            </w:div>
          </w:divsChild>
        </w:div>
        <w:div w:id="1354650656">
          <w:marLeft w:val="0"/>
          <w:marRight w:val="0"/>
          <w:marTop w:val="0"/>
          <w:marBottom w:val="0"/>
          <w:divBdr>
            <w:top w:val="none" w:sz="0" w:space="0" w:color="auto"/>
            <w:left w:val="none" w:sz="0" w:space="0" w:color="auto"/>
            <w:bottom w:val="none" w:sz="0" w:space="0" w:color="auto"/>
            <w:right w:val="none" w:sz="0" w:space="0" w:color="auto"/>
          </w:divBdr>
        </w:div>
        <w:div w:id="1483696006">
          <w:marLeft w:val="0"/>
          <w:marRight w:val="0"/>
          <w:marTop w:val="0"/>
          <w:marBottom w:val="0"/>
          <w:divBdr>
            <w:top w:val="none" w:sz="0" w:space="0" w:color="auto"/>
            <w:left w:val="none" w:sz="0" w:space="0" w:color="auto"/>
            <w:bottom w:val="none" w:sz="0" w:space="0" w:color="auto"/>
            <w:right w:val="none" w:sz="0" w:space="0" w:color="auto"/>
          </w:divBdr>
          <w:divsChild>
            <w:div w:id="207425623">
              <w:marLeft w:val="0"/>
              <w:marRight w:val="0"/>
              <w:marTop w:val="0"/>
              <w:marBottom w:val="0"/>
              <w:divBdr>
                <w:top w:val="none" w:sz="0" w:space="0" w:color="auto"/>
                <w:left w:val="none" w:sz="0" w:space="0" w:color="auto"/>
                <w:bottom w:val="none" w:sz="0" w:space="0" w:color="auto"/>
                <w:right w:val="none" w:sz="0" w:space="0" w:color="auto"/>
              </w:divBdr>
            </w:div>
            <w:div w:id="564729057">
              <w:marLeft w:val="0"/>
              <w:marRight w:val="0"/>
              <w:marTop w:val="0"/>
              <w:marBottom w:val="0"/>
              <w:divBdr>
                <w:top w:val="none" w:sz="0" w:space="0" w:color="auto"/>
                <w:left w:val="none" w:sz="0" w:space="0" w:color="auto"/>
                <w:bottom w:val="none" w:sz="0" w:space="0" w:color="auto"/>
                <w:right w:val="none" w:sz="0" w:space="0" w:color="auto"/>
              </w:divBdr>
            </w:div>
            <w:div w:id="1256674236">
              <w:marLeft w:val="0"/>
              <w:marRight w:val="0"/>
              <w:marTop w:val="0"/>
              <w:marBottom w:val="0"/>
              <w:divBdr>
                <w:top w:val="none" w:sz="0" w:space="0" w:color="auto"/>
                <w:left w:val="none" w:sz="0" w:space="0" w:color="auto"/>
                <w:bottom w:val="none" w:sz="0" w:space="0" w:color="auto"/>
                <w:right w:val="none" w:sz="0" w:space="0" w:color="auto"/>
              </w:divBdr>
            </w:div>
            <w:div w:id="1701856872">
              <w:marLeft w:val="0"/>
              <w:marRight w:val="0"/>
              <w:marTop w:val="0"/>
              <w:marBottom w:val="0"/>
              <w:divBdr>
                <w:top w:val="none" w:sz="0" w:space="0" w:color="auto"/>
                <w:left w:val="none" w:sz="0" w:space="0" w:color="auto"/>
                <w:bottom w:val="none" w:sz="0" w:space="0" w:color="auto"/>
                <w:right w:val="none" w:sz="0" w:space="0" w:color="auto"/>
              </w:divBdr>
            </w:div>
            <w:div w:id="1889217192">
              <w:marLeft w:val="0"/>
              <w:marRight w:val="0"/>
              <w:marTop w:val="0"/>
              <w:marBottom w:val="0"/>
              <w:divBdr>
                <w:top w:val="none" w:sz="0" w:space="0" w:color="auto"/>
                <w:left w:val="none" w:sz="0" w:space="0" w:color="auto"/>
                <w:bottom w:val="none" w:sz="0" w:space="0" w:color="auto"/>
                <w:right w:val="none" w:sz="0" w:space="0" w:color="auto"/>
              </w:divBdr>
            </w:div>
          </w:divsChild>
        </w:div>
        <w:div w:id="1509521450">
          <w:marLeft w:val="0"/>
          <w:marRight w:val="0"/>
          <w:marTop w:val="0"/>
          <w:marBottom w:val="0"/>
          <w:divBdr>
            <w:top w:val="none" w:sz="0" w:space="0" w:color="auto"/>
            <w:left w:val="none" w:sz="0" w:space="0" w:color="auto"/>
            <w:bottom w:val="none" w:sz="0" w:space="0" w:color="auto"/>
            <w:right w:val="none" w:sz="0" w:space="0" w:color="auto"/>
          </w:divBdr>
          <w:divsChild>
            <w:div w:id="113528176">
              <w:marLeft w:val="0"/>
              <w:marRight w:val="0"/>
              <w:marTop w:val="0"/>
              <w:marBottom w:val="0"/>
              <w:divBdr>
                <w:top w:val="none" w:sz="0" w:space="0" w:color="auto"/>
                <w:left w:val="none" w:sz="0" w:space="0" w:color="auto"/>
                <w:bottom w:val="none" w:sz="0" w:space="0" w:color="auto"/>
                <w:right w:val="none" w:sz="0" w:space="0" w:color="auto"/>
              </w:divBdr>
            </w:div>
            <w:div w:id="1354840505">
              <w:marLeft w:val="0"/>
              <w:marRight w:val="0"/>
              <w:marTop w:val="0"/>
              <w:marBottom w:val="0"/>
              <w:divBdr>
                <w:top w:val="none" w:sz="0" w:space="0" w:color="auto"/>
                <w:left w:val="none" w:sz="0" w:space="0" w:color="auto"/>
                <w:bottom w:val="none" w:sz="0" w:space="0" w:color="auto"/>
                <w:right w:val="none" w:sz="0" w:space="0" w:color="auto"/>
              </w:divBdr>
            </w:div>
            <w:div w:id="1612320084">
              <w:marLeft w:val="0"/>
              <w:marRight w:val="0"/>
              <w:marTop w:val="0"/>
              <w:marBottom w:val="0"/>
              <w:divBdr>
                <w:top w:val="none" w:sz="0" w:space="0" w:color="auto"/>
                <w:left w:val="none" w:sz="0" w:space="0" w:color="auto"/>
                <w:bottom w:val="none" w:sz="0" w:space="0" w:color="auto"/>
                <w:right w:val="none" w:sz="0" w:space="0" w:color="auto"/>
              </w:divBdr>
            </w:div>
            <w:div w:id="1797137106">
              <w:marLeft w:val="0"/>
              <w:marRight w:val="0"/>
              <w:marTop w:val="0"/>
              <w:marBottom w:val="0"/>
              <w:divBdr>
                <w:top w:val="none" w:sz="0" w:space="0" w:color="auto"/>
                <w:left w:val="none" w:sz="0" w:space="0" w:color="auto"/>
                <w:bottom w:val="none" w:sz="0" w:space="0" w:color="auto"/>
                <w:right w:val="none" w:sz="0" w:space="0" w:color="auto"/>
              </w:divBdr>
            </w:div>
            <w:div w:id="2133011568">
              <w:marLeft w:val="0"/>
              <w:marRight w:val="0"/>
              <w:marTop w:val="0"/>
              <w:marBottom w:val="0"/>
              <w:divBdr>
                <w:top w:val="none" w:sz="0" w:space="0" w:color="auto"/>
                <w:left w:val="none" w:sz="0" w:space="0" w:color="auto"/>
                <w:bottom w:val="none" w:sz="0" w:space="0" w:color="auto"/>
                <w:right w:val="none" w:sz="0" w:space="0" w:color="auto"/>
              </w:divBdr>
            </w:div>
          </w:divsChild>
        </w:div>
        <w:div w:id="1522352865">
          <w:marLeft w:val="0"/>
          <w:marRight w:val="0"/>
          <w:marTop w:val="0"/>
          <w:marBottom w:val="0"/>
          <w:divBdr>
            <w:top w:val="none" w:sz="0" w:space="0" w:color="auto"/>
            <w:left w:val="none" w:sz="0" w:space="0" w:color="auto"/>
            <w:bottom w:val="none" w:sz="0" w:space="0" w:color="auto"/>
            <w:right w:val="none" w:sz="0" w:space="0" w:color="auto"/>
          </w:divBdr>
          <w:divsChild>
            <w:div w:id="2129275">
              <w:marLeft w:val="0"/>
              <w:marRight w:val="0"/>
              <w:marTop w:val="0"/>
              <w:marBottom w:val="0"/>
              <w:divBdr>
                <w:top w:val="none" w:sz="0" w:space="0" w:color="auto"/>
                <w:left w:val="none" w:sz="0" w:space="0" w:color="auto"/>
                <w:bottom w:val="none" w:sz="0" w:space="0" w:color="auto"/>
                <w:right w:val="none" w:sz="0" w:space="0" w:color="auto"/>
              </w:divBdr>
            </w:div>
            <w:div w:id="12920038">
              <w:marLeft w:val="0"/>
              <w:marRight w:val="0"/>
              <w:marTop w:val="0"/>
              <w:marBottom w:val="0"/>
              <w:divBdr>
                <w:top w:val="none" w:sz="0" w:space="0" w:color="auto"/>
                <w:left w:val="none" w:sz="0" w:space="0" w:color="auto"/>
                <w:bottom w:val="none" w:sz="0" w:space="0" w:color="auto"/>
                <w:right w:val="none" w:sz="0" w:space="0" w:color="auto"/>
              </w:divBdr>
            </w:div>
            <w:div w:id="295258208">
              <w:marLeft w:val="0"/>
              <w:marRight w:val="0"/>
              <w:marTop w:val="0"/>
              <w:marBottom w:val="0"/>
              <w:divBdr>
                <w:top w:val="none" w:sz="0" w:space="0" w:color="auto"/>
                <w:left w:val="none" w:sz="0" w:space="0" w:color="auto"/>
                <w:bottom w:val="none" w:sz="0" w:space="0" w:color="auto"/>
                <w:right w:val="none" w:sz="0" w:space="0" w:color="auto"/>
              </w:divBdr>
            </w:div>
            <w:div w:id="296765998">
              <w:marLeft w:val="0"/>
              <w:marRight w:val="0"/>
              <w:marTop w:val="0"/>
              <w:marBottom w:val="0"/>
              <w:divBdr>
                <w:top w:val="none" w:sz="0" w:space="0" w:color="auto"/>
                <w:left w:val="none" w:sz="0" w:space="0" w:color="auto"/>
                <w:bottom w:val="none" w:sz="0" w:space="0" w:color="auto"/>
                <w:right w:val="none" w:sz="0" w:space="0" w:color="auto"/>
              </w:divBdr>
            </w:div>
            <w:div w:id="792093638">
              <w:marLeft w:val="0"/>
              <w:marRight w:val="0"/>
              <w:marTop w:val="0"/>
              <w:marBottom w:val="0"/>
              <w:divBdr>
                <w:top w:val="none" w:sz="0" w:space="0" w:color="auto"/>
                <w:left w:val="none" w:sz="0" w:space="0" w:color="auto"/>
                <w:bottom w:val="none" w:sz="0" w:space="0" w:color="auto"/>
                <w:right w:val="none" w:sz="0" w:space="0" w:color="auto"/>
              </w:divBdr>
            </w:div>
          </w:divsChild>
        </w:div>
        <w:div w:id="1721049793">
          <w:marLeft w:val="0"/>
          <w:marRight w:val="0"/>
          <w:marTop w:val="0"/>
          <w:marBottom w:val="0"/>
          <w:divBdr>
            <w:top w:val="none" w:sz="0" w:space="0" w:color="auto"/>
            <w:left w:val="none" w:sz="0" w:space="0" w:color="auto"/>
            <w:bottom w:val="none" w:sz="0" w:space="0" w:color="auto"/>
            <w:right w:val="none" w:sz="0" w:space="0" w:color="auto"/>
          </w:divBdr>
        </w:div>
        <w:div w:id="1755204500">
          <w:marLeft w:val="0"/>
          <w:marRight w:val="0"/>
          <w:marTop w:val="0"/>
          <w:marBottom w:val="0"/>
          <w:divBdr>
            <w:top w:val="none" w:sz="0" w:space="0" w:color="auto"/>
            <w:left w:val="none" w:sz="0" w:space="0" w:color="auto"/>
            <w:bottom w:val="none" w:sz="0" w:space="0" w:color="auto"/>
            <w:right w:val="none" w:sz="0" w:space="0" w:color="auto"/>
          </w:divBdr>
          <w:divsChild>
            <w:div w:id="302004673">
              <w:marLeft w:val="0"/>
              <w:marRight w:val="0"/>
              <w:marTop w:val="0"/>
              <w:marBottom w:val="0"/>
              <w:divBdr>
                <w:top w:val="none" w:sz="0" w:space="0" w:color="auto"/>
                <w:left w:val="none" w:sz="0" w:space="0" w:color="auto"/>
                <w:bottom w:val="none" w:sz="0" w:space="0" w:color="auto"/>
                <w:right w:val="none" w:sz="0" w:space="0" w:color="auto"/>
              </w:divBdr>
            </w:div>
            <w:div w:id="1074473183">
              <w:marLeft w:val="0"/>
              <w:marRight w:val="0"/>
              <w:marTop w:val="0"/>
              <w:marBottom w:val="0"/>
              <w:divBdr>
                <w:top w:val="none" w:sz="0" w:space="0" w:color="auto"/>
                <w:left w:val="none" w:sz="0" w:space="0" w:color="auto"/>
                <w:bottom w:val="none" w:sz="0" w:space="0" w:color="auto"/>
                <w:right w:val="none" w:sz="0" w:space="0" w:color="auto"/>
              </w:divBdr>
            </w:div>
            <w:div w:id="1819032947">
              <w:marLeft w:val="0"/>
              <w:marRight w:val="0"/>
              <w:marTop w:val="0"/>
              <w:marBottom w:val="0"/>
              <w:divBdr>
                <w:top w:val="none" w:sz="0" w:space="0" w:color="auto"/>
                <w:left w:val="none" w:sz="0" w:space="0" w:color="auto"/>
                <w:bottom w:val="none" w:sz="0" w:space="0" w:color="auto"/>
                <w:right w:val="none" w:sz="0" w:space="0" w:color="auto"/>
              </w:divBdr>
            </w:div>
            <w:div w:id="2002269567">
              <w:marLeft w:val="0"/>
              <w:marRight w:val="0"/>
              <w:marTop w:val="0"/>
              <w:marBottom w:val="0"/>
              <w:divBdr>
                <w:top w:val="none" w:sz="0" w:space="0" w:color="auto"/>
                <w:left w:val="none" w:sz="0" w:space="0" w:color="auto"/>
                <w:bottom w:val="none" w:sz="0" w:space="0" w:color="auto"/>
                <w:right w:val="none" w:sz="0" w:space="0" w:color="auto"/>
              </w:divBdr>
            </w:div>
          </w:divsChild>
        </w:div>
        <w:div w:id="1963727481">
          <w:marLeft w:val="0"/>
          <w:marRight w:val="0"/>
          <w:marTop w:val="0"/>
          <w:marBottom w:val="0"/>
          <w:divBdr>
            <w:top w:val="none" w:sz="0" w:space="0" w:color="auto"/>
            <w:left w:val="none" w:sz="0" w:space="0" w:color="auto"/>
            <w:bottom w:val="none" w:sz="0" w:space="0" w:color="auto"/>
            <w:right w:val="none" w:sz="0" w:space="0" w:color="auto"/>
          </w:divBdr>
          <w:divsChild>
            <w:div w:id="253905006">
              <w:marLeft w:val="0"/>
              <w:marRight w:val="0"/>
              <w:marTop w:val="0"/>
              <w:marBottom w:val="0"/>
              <w:divBdr>
                <w:top w:val="none" w:sz="0" w:space="0" w:color="auto"/>
                <w:left w:val="none" w:sz="0" w:space="0" w:color="auto"/>
                <w:bottom w:val="none" w:sz="0" w:space="0" w:color="auto"/>
                <w:right w:val="none" w:sz="0" w:space="0" w:color="auto"/>
              </w:divBdr>
            </w:div>
            <w:div w:id="361129604">
              <w:marLeft w:val="0"/>
              <w:marRight w:val="0"/>
              <w:marTop w:val="0"/>
              <w:marBottom w:val="0"/>
              <w:divBdr>
                <w:top w:val="none" w:sz="0" w:space="0" w:color="auto"/>
                <w:left w:val="none" w:sz="0" w:space="0" w:color="auto"/>
                <w:bottom w:val="none" w:sz="0" w:space="0" w:color="auto"/>
                <w:right w:val="none" w:sz="0" w:space="0" w:color="auto"/>
              </w:divBdr>
            </w:div>
            <w:div w:id="544366336">
              <w:marLeft w:val="0"/>
              <w:marRight w:val="0"/>
              <w:marTop w:val="0"/>
              <w:marBottom w:val="0"/>
              <w:divBdr>
                <w:top w:val="none" w:sz="0" w:space="0" w:color="auto"/>
                <w:left w:val="none" w:sz="0" w:space="0" w:color="auto"/>
                <w:bottom w:val="none" w:sz="0" w:space="0" w:color="auto"/>
                <w:right w:val="none" w:sz="0" w:space="0" w:color="auto"/>
              </w:divBdr>
            </w:div>
            <w:div w:id="1026710706">
              <w:marLeft w:val="0"/>
              <w:marRight w:val="0"/>
              <w:marTop w:val="0"/>
              <w:marBottom w:val="0"/>
              <w:divBdr>
                <w:top w:val="none" w:sz="0" w:space="0" w:color="auto"/>
                <w:left w:val="none" w:sz="0" w:space="0" w:color="auto"/>
                <w:bottom w:val="none" w:sz="0" w:space="0" w:color="auto"/>
                <w:right w:val="none" w:sz="0" w:space="0" w:color="auto"/>
              </w:divBdr>
            </w:div>
            <w:div w:id="1298953599">
              <w:marLeft w:val="0"/>
              <w:marRight w:val="0"/>
              <w:marTop w:val="0"/>
              <w:marBottom w:val="0"/>
              <w:divBdr>
                <w:top w:val="none" w:sz="0" w:space="0" w:color="auto"/>
                <w:left w:val="none" w:sz="0" w:space="0" w:color="auto"/>
                <w:bottom w:val="none" w:sz="0" w:space="0" w:color="auto"/>
                <w:right w:val="none" w:sz="0" w:space="0" w:color="auto"/>
              </w:divBdr>
            </w:div>
          </w:divsChild>
        </w:div>
        <w:div w:id="2053726284">
          <w:marLeft w:val="0"/>
          <w:marRight w:val="0"/>
          <w:marTop w:val="0"/>
          <w:marBottom w:val="0"/>
          <w:divBdr>
            <w:top w:val="none" w:sz="0" w:space="0" w:color="auto"/>
            <w:left w:val="none" w:sz="0" w:space="0" w:color="auto"/>
            <w:bottom w:val="none" w:sz="0" w:space="0" w:color="auto"/>
            <w:right w:val="none" w:sz="0" w:space="0" w:color="auto"/>
          </w:divBdr>
        </w:div>
        <w:div w:id="2068335625">
          <w:marLeft w:val="0"/>
          <w:marRight w:val="0"/>
          <w:marTop w:val="0"/>
          <w:marBottom w:val="0"/>
          <w:divBdr>
            <w:top w:val="none" w:sz="0" w:space="0" w:color="auto"/>
            <w:left w:val="none" w:sz="0" w:space="0" w:color="auto"/>
            <w:bottom w:val="none" w:sz="0" w:space="0" w:color="auto"/>
            <w:right w:val="none" w:sz="0" w:space="0" w:color="auto"/>
          </w:divBdr>
        </w:div>
        <w:div w:id="2068721781">
          <w:marLeft w:val="0"/>
          <w:marRight w:val="0"/>
          <w:marTop w:val="0"/>
          <w:marBottom w:val="0"/>
          <w:divBdr>
            <w:top w:val="none" w:sz="0" w:space="0" w:color="auto"/>
            <w:left w:val="none" w:sz="0" w:space="0" w:color="auto"/>
            <w:bottom w:val="none" w:sz="0" w:space="0" w:color="auto"/>
            <w:right w:val="none" w:sz="0" w:space="0" w:color="auto"/>
          </w:divBdr>
        </w:div>
        <w:div w:id="2136752159">
          <w:marLeft w:val="0"/>
          <w:marRight w:val="0"/>
          <w:marTop w:val="0"/>
          <w:marBottom w:val="0"/>
          <w:divBdr>
            <w:top w:val="none" w:sz="0" w:space="0" w:color="auto"/>
            <w:left w:val="none" w:sz="0" w:space="0" w:color="auto"/>
            <w:bottom w:val="none" w:sz="0" w:space="0" w:color="auto"/>
            <w:right w:val="none" w:sz="0" w:space="0" w:color="auto"/>
          </w:divBdr>
        </w:div>
      </w:divsChild>
    </w:div>
    <w:div w:id="1294210354">
      <w:bodyDiv w:val="1"/>
      <w:marLeft w:val="0"/>
      <w:marRight w:val="0"/>
      <w:marTop w:val="0"/>
      <w:marBottom w:val="0"/>
      <w:divBdr>
        <w:top w:val="none" w:sz="0" w:space="0" w:color="auto"/>
        <w:left w:val="none" w:sz="0" w:space="0" w:color="auto"/>
        <w:bottom w:val="none" w:sz="0" w:space="0" w:color="auto"/>
        <w:right w:val="none" w:sz="0" w:space="0" w:color="auto"/>
      </w:divBdr>
      <w:divsChild>
        <w:div w:id="92019451">
          <w:marLeft w:val="0"/>
          <w:marRight w:val="0"/>
          <w:marTop w:val="0"/>
          <w:marBottom w:val="0"/>
          <w:divBdr>
            <w:top w:val="none" w:sz="0" w:space="0" w:color="auto"/>
            <w:left w:val="none" w:sz="0" w:space="0" w:color="auto"/>
            <w:bottom w:val="none" w:sz="0" w:space="0" w:color="auto"/>
            <w:right w:val="none" w:sz="0" w:space="0" w:color="auto"/>
          </w:divBdr>
        </w:div>
        <w:div w:id="100541249">
          <w:marLeft w:val="0"/>
          <w:marRight w:val="0"/>
          <w:marTop w:val="0"/>
          <w:marBottom w:val="0"/>
          <w:divBdr>
            <w:top w:val="none" w:sz="0" w:space="0" w:color="auto"/>
            <w:left w:val="none" w:sz="0" w:space="0" w:color="auto"/>
            <w:bottom w:val="none" w:sz="0" w:space="0" w:color="auto"/>
            <w:right w:val="none" w:sz="0" w:space="0" w:color="auto"/>
          </w:divBdr>
        </w:div>
        <w:div w:id="171650155">
          <w:marLeft w:val="0"/>
          <w:marRight w:val="0"/>
          <w:marTop w:val="0"/>
          <w:marBottom w:val="0"/>
          <w:divBdr>
            <w:top w:val="none" w:sz="0" w:space="0" w:color="auto"/>
            <w:left w:val="none" w:sz="0" w:space="0" w:color="auto"/>
            <w:bottom w:val="none" w:sz="0" w:space="0" w:color="auto"/>
            <w:right w:val="none" w:sz="0" w:space="0" w:color="auto"/>
          </w:divBdr>
        </w:div>
        <w:div w:id="210268878">
          <w:marLeft w:val="0"/>
          <w:marRight w:val="0"/>
          <w:marTop w:val="0"/>
          <w:marBottom w:val="0"/>
          <w:divBdr>
            <w:top w:val="none" w:sz="0" w:space="0" w:color="auto"/>
            <w:left w:val="none" w:sz="0" w:space="0" w:color="auto"/>
            <w:bottom w:val="none" w:sz="0" w:space="0" w:color="auto"/>
            <w:right w:val="none" w:sz="0" w:space="0" w:color="auto"/>
          </w:divBdr>
        </w:div>
        <w:div w:id="245041650">
          <w:marLeft w:val="0"/>
          <w:marRight w:val="0"/>
          <w:marTop w:val="0"/>
          <w:marBottom w:val="0"/>
          <w:divBdr>
            <w:top w:val="none" w:sz="0" w:space="0" w:color="auto"/>
            <w:left w:val="none" w:sz="0" w:space="0" w:color="auto"/>
            <w:bottom w:val="none" w:sz="0" w:space="0" w:color="auto"/>
            <w:right w:val="none" w:sz="0" w:space="0" w:color="auto"/>
          </w:divBdr>
        </w:div>
        <w:div w:id="264000585">
          <w:marLeft w:val="0"/>
          <w:marRight w:val="0"/>
          <w:marTop w:val="0"/>
          <w:marBottom w:val="0"/>
          <w:divBdr>
            <w:top w:val="none" w:sz="0" w:space="0" w:color="auto"/>
            <w:left w:val="none" w:sz="0" w:space="0" w:color="auto"/>
            <w:bottom w:val="none" w:sz="0" w:space="0" w:color="auto"/>
            <w:right w:val="none" w:sz="0" w:space="0" w:color="auto"/>
          </w:divBdr>
        </w:div>
        <w:div w:id="438306305">
          <w:marLeft w:val="0"/>
          <w:marRight w:val="0"/>
          <w:marTop w:val="0"/>
          <w:marBottom w:val="0"/>
          <w:divBdr>
            <w:top w:val="none" w:sz="0" w:space="0" w:color="auto"/>
            <w:left w:val="none" w:sz="0" w:space="0" w:color="auto"/>
            <w:bottom w:val="none" w:sz="0" w:space="0" w:color="auto"/>
            <w:right w:val="none" w:sz="0" w:space="0" w:color="auto"/>
          </w:divBdr>
        </w:div>
        <w:div w:id="474371812">
          <w:marLeft w:val="0"/>
          <w:marRight w:val="0"/>
          <w:marTop w:val="0"/>
          <w:marBottom w:val="0"/>
          <w:divBdr>
            <w:top w:val="none" w:sz="0" w:space="0" w:color="auto"/>
            <w:left w:val="none" w:sz="0" w:space="0" w:color="auto"/>
            <w:bottom w:val="none" w:sz="0" w:space="0" w:color="auto"/>
            <w:right w:val="none" w:sz="0" w:space="0" w:color="auto"/>
          </w:divBdr>
        </w:div>
        <w:div w:id="800196582">
          <w:marLeft w:val="0"/>
          <w:marRight w:val="0"/>
          <w:marTop w:val="0"/>
          <w:marBottom w:val="0"/>
          <w:divBdr>
            <w:top w:val="none" w:sz="0" w:space="0" w:color="auto"/>
            <w:left w:val="none" w:sz="0" w:space="0" w:color="auto"/>
            <w:bottom w:val="none" w:sz="0" w:space="0" w:color="auto"/>
            <w:right w:val="none" w:sz="0" w:space="0" w:color="auto"/>
          </w:divBdr>
        </w:div>
        <w:div w:id="1127092178">
          <w:marLeft w:val="0"/>
          <w:marRight w:val="0"/>
          <w:marTop w:val="0"/>
          <w:marBottom w:val="0"/>
          <w:divBdr>
            <w:top w:val="none" w:sz="0" w:space="0" w:color="auto"/>
            <w:left w:val="none" w:sz="0" w:space="0" w:color="auto"/>
            <w:bottom w:val="none" w:sz="0" w:space="0" w:color="auto"/>
            <w:right w:val="none" w:sz="0" w:space="0" w:color="auto"/>
          </w:divBdr>
        </w:div>
        <w:div w:id="1264462612">
          <w:marLeft w:val="0"/>
          <w:marRight w:val="0"/>
          <w:marTop w:val="0"/>
          <w:marBottom w:val="0"/>
          <w:divBdr>
            <w:top w:val="none" w:sz="0" w:space="0" w:color="auto"/>
            <w:left w:val="none" w:sz="0" w:space="0" w:color="auto"/>
            <w:bottom w:val="none" w:sz="0" w:space="0" w:color="auto"/>
            <w:right w:val="none" w:sz="0" w:space="0" w:color="auto"/>
          </w:divBdr>
        </w:div>
        <w:div w:id="1271283872">
          <w:marLeft w:val="0"/>
          <w:marRight w:val="0"/>
          <w:marTop w:val="0"/>
          <w:marBottom w:val="0"/>
          <w:divBdr>
            <w:top w:val="none" w:sz="0" w:space="0" w:color="auto"/>
            <w:left w:val="none" w:sz="0" w:space="0" w:color="auto"/>
            <w:bottom w:val="none" w:sz="0" w:space="0" w:color="auto"/>
            <w:right w:val="none" w:sz="0" w:space="0" w:color="auto"/>
          </w:divBdr>
        </w:div>
        <w:div w:id="162149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gcmedicines.org.uk/non-formulary-information/" TargetMode="External"/><Relationship Id="rId18" Type="http://schemas.openxmlformats.org/officeDocument/2006/relationships/hyperlink" Target="https://ggcmedicines.org.uk/non-formulary-inform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gcmedicines.org.uk/media/ju0nnx15/5-7-unlicensed-medicines-policy-dec-2021.pdf" TargetMode="External"/><Relationship Id="rId17" Type="http://schemas.openxmlformats.org/officeDocument/2006/relationships/hyperlink" Target="https://ggcmedicines.org.uk/non-formulary-inform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w.officeapps.live.com/op/view.aspx?src=https%3A%2F%2Fggcmedicines.org.uk%2Fmedia%2F5ikhfr3l%2F5-7-form_ulm1-dec-2021.docx&amp;wdOrigin=BROWSELI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gcmedicines.org.uk/non-formulary-informatio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iew.officeapps.live.com/op/view.aspx?src=https%3A%2F%2Fggcmedicines.org.uk%2Fmedia%2F5ikhfr3l%2F5-7-form_ulm1-dec-2021.docx&amp;wdOrigin=BROWSELIN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gcmedicines.org.uk/non-formulary-information/"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8" ma:contentTypeDescription="Create a new document." ma:contentTypeScope="" ma:versionID="c6bd8a9c38e67e3bfc2541355b22994e">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f372d5fb702fb83df0ad80e05123ef74"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442bde8-3b9a-412f-bffa-98aaf5709b6b">
      <UserInfo>
        <DisplayName/>
        <AccountId xsi:nil="true"/>
        <AccountType/>
      </UserInfo>
    </SharedWithUsers>
    <MediaLengthInSeconds xmlns="25793f7a-a37b-4e1c-b9fe-39e28de9fedb" xsi:nil="true"/>
    <TaxCatchAll xmlns="4442bde8-3b9a-412f-bffa-98aaf5709b6b" xsi:nil="true"/>
    <lcf76f155ced4ddcb4097134ff3c332f xmlns="25793f7a-a37b-4e1c-b9fe-39e28de9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B33B97-0F7E-46E2-A14A-951D22DA592C}">
  <ds:schemaRefs>
    <ds:schemaRef ds:uri="http://schemas.microsoft.com/sharepoint/v3/contenttype/forms"/>
  </ds:schemaRefs>
</ds:datastoreItem>
</file>

<file path=customXml/itemProps2.xml><?xml version="1.0" encoding="utf-8"?>
<ds:datastoreItem xmlns:ds="http://schemas.openxmlformats.org/officeDocument/2006/customXml" ds:itemID="{B0E8A677-7C48-4CB0-8847-B4D0D1ED0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C641-66F2-4C74-81AF-04E91035A66D}">
  <ds:schemaRefs>
    <ds:schemaRef ds:uri="http://schemas.openxmlformats.org/officeDocument/2006/bibliography"/>
  </ds:schemaRefs>
</ds:datastoreItem>
</file>

<file path=customXml/itemProps4.xml><?xml version="1.0" encoding="utf-8"?>
<ds:datastoreItem xmlns:ds="http://schemas.openxmlformats.org/officeDocument/2006/customXml" ds:itemID="{BBACF4B0-60A5-4662-BA70-58ABA33F2A94}">
  <ds:schemaRefs>
    <ds:schemaRef ds:uri="http://schemas.microsoft.com/office/2006/documentManagement/types"/>
    <ds:schemaRef ds:uri="http://purl.org/dc/elements/1.1/"/>
    <ds:schemaRef ds:uri="http://schemas.openxmlformats.org/package/2006/metadata/core-properties"/>
    <ds:schemaRef ds:uri="4442bde8-3b9a-412f-bffa-98aaf5709b6b"/>
    <ds:schemaRef ds:uri="http://schemas.microsoft.com/office/infopath/2007/PartnerControls"/>
    <ds:schemaRef ds:uri="25793f7a-a37b-4e1c-b9fe-39e28de9fedb"/>
    <ds:schemaRef ds:uri="http://purl.org/dc/term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2098</Words>
  <Characters>11717</Characters>
  <Application>Microsoft Office Word</Application>
  <DocSecurity>0</DocSecurity>
  <Lines>199</Lines>
  <Paragraphs>78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13782</CharactersWithSpaces>
  <SharedDoc>false</SharedDoc>
  <HLinks>
    <vt:vector size="54" baseType="variant">
      <vt:variant>
        <vt:i4>7864383</vt:i4>
      </vt:variant>
      <vt:variant>
        <vt:i4>21</vt:i4>
      </vt:variant>
      <vt:variant>
        <vt:i4>0</vt:i4>
      </vt:variant>
      <vt:variant>
        <vt:i4>5</vt:i4>
      </vt:variant>
      <vt:variant>
        <vt:lpwstr>https://ggcmedicines.org.uk/non-formulary-information/</vt:lpwstr>
      </vt:variant>
      <vt:variant>
        <vt:lpwstr/>
      </vt:variant>
      <vt:variant>
        <vt:i4>7864383</vt:i4>
      </vt:variant>
      <vt:variant>
        <vt:i4>18</vt:i4>
      </vt:variant>
      <vt:variant>
        <vt:i4>0</vt:i4>
      </vt:variant>
      <vt:variant>
        <vt:i4>5</vt:i4>
      </vt:variant>
      <vt:variant>
        <vt:lpwstr>https://ggcmedicines.org.uk/non-formulary-information/</vt:lpwstr>
      </vt:variant>
      <vt:variant>
        <vt:lpwstr/>
      </vt:variant>
      <vt:variant>
        <vt:i4>7798810</vt:i4>
      </vt:variant>
      <vt:variant>
        <vt:i4>15</vt:i4>
      </vt:variant>
      <vt:variant>
        <vt:i4>0</vt:i4>
      </vt:variant>
      <vt:variant>
        <vt:i4>5</vt:i4>
      </vt:variant>
      <vt:variant>
        <vt:lpwstr>https://view.officeapps.live.com/op/view.aspx?src=https%3A%2F%2Fggcmedicines.org.uk%2Fmedia%2F5ikhfr3l%2F5-7-form_ulm1-dec-2021.docx&amp;wdOrigin=BROWSELINK</vt:lpwstr>
      </vt:variant>
      <vt:variant>
        <vt:lpwstr/>
      </vt:variant>
      <vt:variant>
        <vt:i4>7798810</vt:i4>
      </vt:variant>
      <vt:variant>
        <vt:i4>12</vt:i4>
      </vt:variant>
      <vt:variant>
        <vt:i4>0</vt:i4>
      </vt:variant>
      <vt:variant>
        <vt:i4>5</vt:i4>
      </vt:variant>
      <vt:variant>
        <vt:lpwstr>https://view.officeapps.live.com/op/view.aspx?src=https%3A%2F%2Fggcmedicines.org.uk%2Fmedia%2F5ikhfr3l%2F5-7-form_ulm1-dec-2021.docx&amp;wdOrigin=BROWSELINK</vt:lpwstr>
      </vt:variant>
      <vt:variant>
        <vt:lpwstr/>
      </vt:variant>
      <vt:variant>
        <vt:i4>7864383</vt:i4>
      </vt:variant>
      <vt:variant>
        <vt:i4>9</vt:i4>
      </vt:variant>
      <vt:variant>
        <vt:i4>0</vt:i4>
      </vt:variant>
      <vt:variant>
        <vt:i4>5</vt:i4>
      </vt:variant>
      <vt:variant>
        <vt:lpwstr>https://ggcmedicines.org.uk/non-formulary-information/</vt:lpwstr>
      </vt:variant>
      <vt:variant>
        <vt:lpwstr/>
      </vt:variant>
      <vt:variant>
        <vt:i4>7864383</vt:i4>
      </vt:variant>
      <vt:variant>
        <vt:i4>6</vt:i4>
      </vt:variant>
      <vt:variant>
        <vt:i4>0</vt:i4>
      </vt:variant>
      <vt:variant>
        <vt:i4>5</vt:i4>
      </vt:variant>
      <vt:variant>
        <vt:lpwstr>https://ggcmedicines.org.uk/non-formulary-information/</vt:lpwstr>
      </vt:variant>
      <vt:variant>
        <vt:lpwstr/>
      </vt:variant>
      <vt:variant>
        <vt:i4>6750326</vt:i4>
      </vt:variant>
      <vt:variant>
        <vt:i4>3</vt:i4>
      </vt:variant>
      <vt:variant>
        <vt:i4>0</vt:i4>
      </vt:variant>
      <vt:variant>
        <vt:i4>5</vt:i4>
      </vt:variant>
      <vt:variant>
        <vt:lpwstr>https://ggcmedicines.org.uk/media/ju0nnx15/5-7-unlicensed-medicines-policy-dec-2021.pdf</vt:lpwstr>
      </vt:variant>
      <vt:variant>
        <vt:lpwstr/>
      </vt:variant>
      <vt:variant>
        <vt:i4>7864383</vt:i4>
      </vt:variant>
      <vt:variant>
        <vt:i4>0</vt:i4>
      </vt:variant>
      <vt:variant>
        <vt:i4>0</vt:i4>
      </vt:variant>
      <vt:variant>
        <vt:i4>5</vt:i4>
      </vt:variant>
      <vt:variant>
        <vt:lpwstr>https://ggcmedicines.org.uk/non-formulary-information/</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 Roy</dc:creator>
  <cp:keywords/>
  <dc:description/>
  <cp:lastModifiedBy>Ishtiaq Mohammed (NHS Greater Glasgow and Clyde)</cp:lastModifiedBy>
  <cp:revision>3</cp:revision>
  <cp:lastPrinted>2021-11-30T22:58:00Z</cp:lastPrinted>
  <dcterms:created xsi:type="dcterms:W3CDTF">2025-10-22T13:57:00Z</dcterms:created>
  <dcterms:modified xsi:type="dcterms:W3CDTF">2025-10-22T14:02:00Z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Order">
    <vt:r8>99700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y fmtid="{D5CDD505-2E9C-101B-9397-08002B2CF9AE}" pid="10" name="docLang">
    <vt:lpwstr>en</vt:lpwstr>
  </property>
</Properties>
</file>