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1334" w14:textId="77777777" w:rsidR="00EB7430" w:rsidRPr="00D20BF6" w:rsidRDefault="00D438E5" w:rsidP="00D438E5">
      <w:pPr>
        <w:pStyle w:val="BodyText"/>
        <w:numPr>
          <w:ilvl w:val="0"/>
          <w:numId w:val="36"/>
        </w:numPr>
        <w:pBdr>
          <w:top w:val="single" w:sz="4" w:space="1" w:color="auto"/>
        </w:pBdr>
        <w:jc w:val="both"/>
        <w:rPr>
          <w:rFonts w:asciiTheme="minorHAnsi" w:hAnsiTheme="minorHAnsi" w:cs="Tahoma"/>
          <w:b w:val="0"/>
          <w:caps/>
          <w:color w:val="333399"/>
          <w:szCs w:val="24"/>
        </w:rPr>
      </w:pPr>
      <w:permStart w:id="903288193" w:edGrp="everyone"/>
      <w:permEnd w:id="903288193"/>
      <w:r>
        <w:rPr>
          <w:rFonts w:asciiTheme="minorHAnsi" w:hAnsiTheme="minorHAnsi" w:cstheme="minorHAnsi"/>
          <w:color w:val="1F497D"/>
        </w:rPr>
        <w:t>Purpose of policy</w:t>
      </w:r>
    </w:p>
    <w:p w14:paraId="113D1335" w14:textId="26E23C8A" w:rsidR="00D438E5" w:rsidRDefault="00D438E5" w:rsidP="49EB5C57">
      <w:pPr>
        <w:ind w:right="-56"/>
        <w:jc w:val="both"/>
        <w:rPr>
          <w:rFonts w:asciiTheme="minorHAnsi" w:hAnsiTheme="minorHAnsi" w:cs="Tahoma"/>
        </w:rPr>
      </w:pPr>
      <w:r w:rsidRPr="49EB5C57">
        <w:rPr>
          <w:rFonts w:asciiTheme="minorHAnsi" w:hAnsiTheme="minorHAnsi" w:cs="Tahoma"/>
        </w:rPr>
        <w:t>This document outlines the NHSGGC management process for the appeal of decisions relating to Individual Patient Treatment Requests (IPTRs) for medicines being used within their licensed indications when:</w:t>
      </w:r>
    </w:p>
    <w:p w14:paraId="113D1336" w14:textId="124D4165" w:rsidR="00D438E5" w:rsidRPr="00D438E5" w:rsidRDefault="00D438E5" w:rsidP="49EB5C57">
      <w:pPr>
        <w:pStyle w:val="ListParagraph"/>
        <w:numPr>
          <w:ilvl w:val="0"/>
          <w:numId w:val="39"/>
        </w:numPr>
        <w:ind w:right="-56"/>
        <w:jc w:val="both"/>
        <w:rPr>
          <w:rFonts w:asciiTheme="minorHAnsi" w:hAnsiTheme="minorHAnsi" w:cs="Tahoma"/>
        </w:rPr>
      </w:pPr>
      <w:r w:rsidRPr="49EB5C57">
        <w:rPr>
          <w:rFonts w:asciiTheme="minorHAnsi" w:hAnsiTheme="minorHAnsi"/>
        </w:rPr>
        <w:t xml:space="preserve">The medicine/indication have not yet been submitted to the </w:t>
      </w:r>
      <w:r w:rsidR="009400B2" w:rsidRPr="49EB5C57">
        <w:rPr>
          <w:rFonts w:asciiTheme="minorHAnsi" w:hAnsiTheme="minorHAnsi"/>
        </w:rPr>
        <w:t>Scottish Medicines Consortium (</w:t>
      </w:r>
      <w:r w:rsidRPr="49EB5C57">
        <w:rPr>
          <w:rFonts w:asciiTheme="minorHAnsi" w:hAnsiTheme="minorHAnsi"/>
        </w:rPr>
        <w:t>SMC</w:t>
      </w:r>
      <w:r w:rsidR="009400B2" w:rsidRPr="49EB5C57">
        <w:rPr>
          <w:rFonts w:asciiTheme="minorHAnsi" w:hAnsiTheme="minorHAnsi"/>
        </w:rPr>
        <w:t>)</w:t>
      </w:r>
      <w:r w:rsidRPr="49EB5C57">
        <w:rPr>
          <w:rFonts w:asciiTheme="minorHAnsi" w:hAnsiTheme="minorHAnsi"/>
        </w:rPr>
        <w:t xml:space="preserve"> for evaluation </w:t>
      </w:r>
    </w:p>
    <w:p w14:paraId="113D1337" w14:textId="77777777" w:rsidR="00D438E5" w:rsidRPr="00D438E5" w:rsidRDefault="00D438E5" w:rsidP="00D438E5">
      <w:pPr>
        <w:pStyle w:val="ListParagraph"/>
        <w:numPr>
          <w:ilvl w:val="0"/>
          <w:numId w:val="39"/>
        </w:numPr>
        <w:ind w:right="-56"/>
        <w:jc w:val="both"/>
        <w:rPr>
          <w:rFonts w:asciiTheme="minorHAnsi" w:hAnsiTheme="minorHAnsi" w:cs="Tahoma"/>
        </w:rPr>
      </w:pPr>
      <w:r w:rsidRPr="00D438E5">
        <w:rPr>
          <w:rFonts w:asciiTheme="minorHAnsi" w:hAnsiTheme="minorHAnsi"/>
        </w:rPr>
        <w:t>The SMC has issued “not recommended” advice for the medicine/indication because the company have failed to make a submission to the SMC (non-submission) </w:t>
      </w:r>
    </w:p>
    <w:p w14:paraId="113D1338" w14:textId="77777777" w:rsidR="00D438E5" w:rsidRPr="00D438E5" w:rsidRDefault="00D438E5" w:rsidP="00D438E5">
      <w:pPr>
        <w:pStyle w:val="ListParagraph"/>
        <w:numPr>
          <w:ilvl w:val="0"/>
          <w:numId w:val="39"/>
        </w:numPr>
        <w:ind w:right="-56"/>
        <w:jc w:val="both"/>
        <w:rPr>
          <w:rFonts w:asciiTheme="minorHAnsi" w:hAnsiTheme="minorHAnsi" w:cs="Tahoma"/>
        </w:rPr>
      </w:pPr>
      <w:r w:rsidRPr="00D438E5">
        <w:rPr>
          <w:rFonts w:asciiTheme="minorHAnsi" w:hAnsiTheme="minorHAnsi"/>
        </w:rPr>
        <w:t>The SMC have issued advice on the medicine/indication, but the intended use of the medicine is outside the company positioning (selective submission) which was evaluated by the SMC.</w:t>
      </w:r>
    </w:p>
    <w:p w14:paraId="113D1339" w14:textId="77777777" w:rsidR="00EB7430" w:rsidRPr="00D20BF6" w:rsidRDefault="00EB7430" w:rsidP="001261E4">
      <w:pPr>
        <w:ind w:right="-56"/>
        <w:jc w:val="both"/>
        <w:rPr>
          <w:rFonts w:asciiTheme="minorHAnsi" w:hAnsiTheme="minorHAnsi" w:cs="Tahoma"/>
        </w:rPr>
      </w:pPr>
    </w:p>
    <w:p w14:paraId="113D133A" w14:textId="77777777" w:rsidR="00EB7430" w:rsidRPr="00DA0D5F" w:rsidRDefault="00EB7430" w:rsidP="00DA0D5F">
      <w:pPr>
        <w:pStyle w:val="BodyText"/>
        <w:numPr>
          <w:ilvl w:val="0"/>
          <w:numId w:val="36"/>
        </w:numPr>
        <w:pBdr>
          <w:top w:val="single" w:sz="4" w:space="1" w:color="auto"/>
        </w:pBdr>
        <w:jc w:val="both"/>
        <w:rPr>
          <w:rFonts w:asciiTheme="minorHAnsi" w:hAnsiTheme="minorHAnsi" w:cstheme="minorHAnsi"/>
          <w:color w:val="1F497D"/>
        </w:rPr>
      </w:pPr>
      <w:r w:rsidRPr="00DA0D5F">
        <w:rPr>
          <w:rFonts w:asciiTheme="minorHAnsi" w:hAnsiTheme="minorHAnsi" w:cstheme="minorHAnsi"/>
          <w:color w:val="1F497D"/>
        </w:rPr>
        <w:t>C</w:t>
      </w:r>
      <w:r w:rsidR="00DA0D5F">
        <w:rPr>
          <w:rFonts w:asciiTheme="minorHAnsi" w:hAnsiTheme="minorHAnsi" w:cstheme="minorHAnsi"/>
          <w:color w:val="1F497D"/>
        </w:rPr>
        <w:t>riteria for appeal</w:t>
      </w:r>
    </w:p>
    <w:p w14:paraId="113D133B" w14:textId="3E431CD6" w:rsidR="00EB7430" w:rsidRPr="00D20BF6" w:rsidRDefault="00EB7430" w:rsidP="49EB5C57">
      <w:pPr>
        <w:ind w:right="-56"/>
        <w:jc w:val="both"/>
        <w:rPr>
          <w:rFonts w:asciiTheme="minorHAnsi" w:hAnsiTheme="minorHAnsi" w:cs="Tahoma"/>
        </w:rPr>
      </w:pPr>
      <w:r w:rsidRPr="49EB5C57">
        <w:rPr>
          <w:rFonts w:asciiTheme="minorHAnsi" w:hAnsiTheme="minorHAnsi" w:cs="Tahoma"/>
        </w:rPr>
        <w:t xml:space="preserve">The requesting clinician may appeal against the outcome of the IPTR panel </w:t>
      </w:r>
      <w:proofErr w:type="gramStart"/>
      <w:r w:rsidRPr="49EB5C57">
        <w:rPr>
          <w:rFonts w:asciiTheme="minorHAnsi" w:hAnsiTheme="minorHAnsi" w:cs="Tahoma"/>
        </w:rPr>
        <w:t>on the basis of</w:t>
      </w:r>
      <w:proofErr w:type="gramEnd"/>
      <w:r w:rsidRPr="49EB5C57">
        <w:rPr>
          <w:rFonts w:asciiTheme="minorHAnsi" w:hAnsiTheme="minorHAnsi" w:cs="Tahoma"/>
        </w:rPr>
        <w:t xml:space="preserve"> the criteria described below.  A patient is unable to request an appeal of a declined IPTR unless </w:t>
      </w:r>
      <w:r w:rsidR="002D2FAB" w:rsidRPr="49EB5C57">
        <w:rPr>
          <w:rFonts w:asciiTheme="minorHAnsi" w:hAnsiTheme="minorHAnsi" w:cs="Tahoma"/>
        </w:rPr>
        <w:t>they have</w:t>
      </w:r>
      <w:r w:rsidRPr="49EB5C57">
        <w:rPr>
          <w:rFonts w:asciiTheme="minorHAnsi" w:hAnsiTheme="minorHAnsi" w:cs="Tahoma"/>
        </w:rPr>
        <w:t xml:space="preserve"> the full support of their consultant</w:t>
      </w:r>
      <w:r w:rsidR="007D06A4" w:rsidRPr="49EB5C57">
        <w:rPr>
          <w:rFonts w:asciiTheme="minorHAnsi" w:hAnsiTheme="minorHAnsi" w:cs="Tahoma"/>
        </w:rPr>
        <w:t>, who would submit the appeal</w:t>
      </w:r>
      <w:r w:rsidRPr="49EB5C57">
        <w:rPr>
          <w:rFonts w:asciiTheme="minorHAnsi" w:hAnsiTheme="minorHAnsi" w:cs="Tahoma"/>
        </w:rPr>
        <w:t>. Each appeal must be supported by relevant documentation</w:t>
      </w:r>
      <w:r w:rsidR="00903727" w:rsidRPr="49EB5C57">
        <w:rPr>
          <w:rFonts w:asciiTheme="minorHAnsi" w:hAnsiTheme="minorHAnsi" w:cs="Tahoma"/>
        </w:rPr>
        <w:t xml:space="preserve">, see </w:t>
      </w:r>
      <w:hyperlink r:id="rId11" w:history="1">
        <w:proofErr w:type="spellStart"/>
        <w:r w:rsidR="00903727" w:rsidRPr="00BC1062">
          <w:rPr>
            <w:rStyle w:val="Hyperlink"/>
            <w:rFonts w:asciiTheme="minorHAnsi" w:hAnsiTheme="minorHAnsi" w:cs="Tahoma"/>
          </w:rPr>
          <w:t>eForm</w:t>
        </w:r>
        <w:proofErr w:type="spellEnd"/>
        <w:r w:rsidR="00903727" w:rsidRPr="00BC1062">
          <w:rPr>
            <w:rStyle w:val="Hyperlink"/>
            <w:rFonts w:asciiTheme="minorHAnsi" w:hAnsiTheme="minorHAnsi" w:cs="Tahoma"/>
          </w:rPr>
          <w:t xml:space="preserve"> IPTR APPEAL</w:t>
        </w:r>
      </w:hyperlink>
      <w:r w:rsidRPr="49EB5C57">
        <w:rPr>
          <w:rFonts w:asciiTheme="minorHAnsi" w:hAnsiTheme="minorHAnsi" w:cs="Tahoma"/>
        </w:rPr>
        <w:t>.</w:t>
      </w:r>
    </w:p>
    <w:p w14:paraId="113D133C" w14:textId="77777777" w:rsidR="00EB7430" w:rsidRPr="00D20BF6" w:rsidRDefault="00EB7430" w:rsidP="001261E4">
      <w:pPr>
        <w:ind w:right="-56"/>
        <w:jc w:val="both"/>
        <w:rPr>
          <w:rFonts w:asciiTheme="minorHAnsi" w:hAnsiTheme="minorHAnsi" w:cs="Tahoma"/>
          <w:bCs/>
        </w:rPr>
      </w:pPr>
    </w:p>
    <w:p w14:paraId="113D133D" w14:textId="77777777" w:rsidR="007D06A4" w:rsidRDefault="00EB7430" w:rsidP="001261E4">
      <w:pPr>
        <w:ind w:right="-56"/>
        <w:jc w:val="both"/>
        <w:rPr>
          <w:rFonts w:asciiTheme="minorHAnsi" w:hAnsiTheme="minorHAnsi" w:cs="Tahoma"/>
          <w:bCs/>
        </w:rPr>
      </w:pPr>
      <w:r w:rsidRPr="00D20BF6">
        <w:rPr>
          <w:rFonts w:asciiTheme="minorHAnsi" w:hAnsiTheme="minorHAnsi" w:cs="Tahoma"/>
          <w:bCs/>
        </w:rPr>
        <w:t>An appeal may be made, either</w:t>
      </w:r>
      <w:r w:rsidR="007D06A4">
        <w:rPr>
          <w:rFonts w:asciiTheme="minorHAnsi" w:hAnsiTheme="minorHAnsi" w:cs="Tahoma"/>
          <w:bCs/>
        </w:rPr>
        <w:t>:</w:t>
      </w:r>
    </w:p>
    <w:p w14:paraId="113D133E" w14:textId="77777777" w:rsidR="007D06A4" w:rsidRDefault="00EB7430" w:rsidP="007D06A4">
      <w:pPr>
        <w:pStyle w:val="ListParagraph"/>
        <w:numPr>
          <w:ilvl w:val="0"/>
          <w:numId w:val="40"/>
        </w:numPr>
        <w:ind w:right="-56"/>
        <w:jc w:val="both"/>
        <w:rPr>
          <w:rFonts w:asciiTheme="minorHAnsi" w:hAnsiTheme="minorHAnsi" w:cs="Tahoma"/>
          <w:bCs/>
        </w:rPr>
      </w:pPr>
      <w:r w:rsidRPr="007D06A4">
        <w:rPr>
          <w:rFonts w:asciiTheme="minorHAnsi" w:hAnsiTheme="minorHAnsi" w:cs="Tahoma"/>
          <w:bCs/>
        </w:rPr>
        <w:t xml:space="preserve">on the basis that the IPTR process was flawed in some way or </w:t>
      </w:r>
    </w:p>
    <w:p w14:paraId="113D133F" w14:textId="77777777" w:rsidR="007D06A4" w:rsidRDefault="00EB7430" w:rsidP="007D06A4">
      <w:pPr>
        <w:pStyle w:val="ListParagraph"/>
        <w:numPr>
          <w:ilvl w:val="0"/>
          <w:numId w:val="40"/>
        </w:numPr>
        <w:ind w:right="-56"/>
        <w:jc w:val="both"/>
        <w:rPr>
          <w:rFonts w:asciiTheme="minorHAnsi" w:hAnsiTheme="minorHAnsi" w:cs="Tahoma"/>
          <w:bCs/>
        </w:rPr>
      </w:pPr>
      <w:r w:rsidRPr="007D06A4">
        <w:rPr>
          <w:rFonts w:asciiTheme="minorHAnsi" w:hAnsiTheme="minorHAnsi" w:cs="Tahoma"/>
          <w:bCs/>
        </w:rPr>
        <w:t xml:space="preserve">on the grounds of re-evaluation of the clinical evidence. </w:t>
      </w:r>
    </w:p>
    <w:p w14:paraId="113D1340" w14:textId="77777777" w:rsidR="007D06A4" w:rsidRDefault="007D06A4" w:rsidP="007D06A4">
      <w:pPr>
        <w:pStyle w:val="ListParagraph"/>
        <w:ind w:right="-56"/>
        <w:jc w:val="both"/>
        <w:rPr>
          <w:rFonts w:asciiTheme="minorHAnsi" w:hAnsiTheme="minorHAnsi" w:cs="Tahoma"/>
          <w:bCs/>
        </w:rPr>
      </w:pPr>
    </w:p>
    <w:p w14:paraId="113D1341" w14:textId="77777777" w:rsidR="00EB7430" w:rsidRPr="007D06A4" w:rsidRDefault="00EB7430" w:rsidP="007D06A4">
      <w:pPr>
        <w:ind w:right="-56"/>
        <w:jc w:val="both"/>
        <w:rPr>
          <w:rFonts w:asciiTheme="minorHAnsi" w:hAnsiTheme="minorHAnsi" w:cs="Tahoma"/>
          <w:bCs/>
        </w:rPr>
      </w:pPr>
      <w:r w:rsidRPr="007D06A4">
        <w:rPr>
          <w:rFonts w:asciiTheme="minorHAnsi" w:hAnsiTheme="minorHAnsi" w:cs="Tahoma"/>
          <w:bCs/>
        </w:rPr>
        <w:t xml:space="preserve">The latter should be differentiated from the emergence of new evidence which is sufficient to justify resubmission of the case to the original IPTR Panel. </w:t>
      </w:r>
    </w:p>
    <w:p w14:paraId="113D1342" w14:textId="77777777" w:rsidR="00EB7430" w:rsidRPr="00D20BF6" w:rsidRDefault="00EB7430" w:rsidP="001261E4">
      <w:pPr>
        <w:ind w:right="-56"/>
        <w:jc w:val="both"/>
        <w:rPr>
          <w:rFonts w:asciiTheme="minorHAnsi" w:hAnsiTheme="minorHAnsi" w:cs="Tahoma"/>
          <w:bCs/>
        </w:rPr>
      </w:pPr>
    </w:p>
    <w:p w14:paraId="113D1343" w14:textId="77777777" w:rsidR="00EB7430" w:rsidRPr="00D20BF6" w:rsidRDefault="00EB7430" w:rsidP="001261E4">
      <w:pPr>
        <w:ind w:right="-56"/>
        <w:jc w:val="both"/>
        <w:rPr>
          <w:rFonts w:asciiTheme="minorHAnsi" w:hAnsiTheme="minorHAnsi" w:cs="Tahoma"/>
          <w:bCs/>
        </w:rPr>
      </w:pPr>
      <w:r w:rsidRPr="00D20BF6">
        <w:rPr>
          <w:rFonts w:asciiTheme="minorHAnsi" w:hAnsiTheme="minorHAnsi" w:cs="Tahoma"/>
          <w:bCs/>
        </w:rPr>
        <w:t>In relation to (a), it is possible that</w:t>
      </w:r>
      <w:r w:rsidR="007D06A4">
        <w:rPr>
          <w:rFonts w:asciiTheme="minorHAnsi" w:hAnsiTheme="minorHAnsi" w:cs="Tahoma"/>
          <w:bCs/>
        </w:rPr>
        <w:t>:</w:t>
      </w:r>
    </w:p>
    <w:p w14:paraId="113D1344" w14:textId="77777777" w:rsidR="00EB7430" w:rsidRPr="00D20BF6" w:rsidRDefault="00EB7430" w:rsidP="001261E4">
      <w:pPr>
        <w:numPr>
          <w:ilvl w:val="0"/>
          <w:numId w:val="29"/>
        </w:numPr>
        <w:ind w:right="-56"/>
        <w:jc w:val="both"/>
        <w:rPr>
          <w:rFonts w:asciiTheme="minorHAnsi" w:hAnsiTheme="minorHAnsi" w:cs="Tahoma"/>
          <w:bCs/>
        </w:rPr>
      </w:pPr>
      <w:r w:rsidRPr="00D20BF6">
        <w:rPr>
          <w:rFonts w:asciiTheme="minorHAnsi" w:hAnsiTheme="minorHAnsi" w:cs="Tahoma"/>
          <w:bCs/>
        </w:rPr>
        <w:t>relevant procedures were not followed</w:t>
      </w:r>
    </w:p>
    <w:p w14:paraId="113D1345" w14:textId="77777777" w:rsidR="00EB7430" w:rsidRPr="00D20BF6" w:rsidRDefault="00EB7430" w:rsidP="001261E4">
      <w:pPr>
        <w:numPr>
          <w:ilvl w:val="0"/>
          <w:numId w:val="29"/>
        </w:numPr>
        <w:ind w:right="-56"/>
        <w:jc w:val="both"/>
        <w:rPr>
          <w:rFonts w:asciiTheme="minorHAnsi" w:hAnsiTheme="minorHAnsi" w:cs="Tahoma"/>
          <w:bCs/>
        </w:rPr>
      </w:pPr>
      <w:r w:rsidRPr="00D20BF6">
        <w:rPr>
          <w:rFonts w:asciiTheme="minorHAnsi" w:hAnsiTheme="minorHAnsi" w:cs="Tahoma"/>
          <w:bCs/>
        </w:rPr>
        <w:t>relevant evidence was overlooked</w:t>
      </w:r>
    </w:p>
    <w:p w14:paraId="113D1346" w14:textId="77777777" w:rsidR="00EB7430" w:rsidRPr="00D20BF6" w:rsidRDefault="00EB7430" w:rsidP="001261E4">
      <w:pPr>
        <w:numPr>
          <w:ilvl w:val="0"/>
          <w:numId w:val="29"/>
        </w:numPr>
        <w:ind w:right="-56"/>
        <w:jc w:val="both"/>
        <w:rPr>
          <w:rFonts w:asciiTheme="minorHAnsi" w:hAnsiTheme="minorHAnsi" w:cs="Tahoma"/>
          <w:bCs/>
        </w:rPr>
      </w:pPr>
      <w:r w:rsidRPr="00D20BF6">
        <w:rPr>
          <w:rFonts w:asciiTheme="minorHAnsi" w:hAnsiTheme="minorHAnsi" w:cs="Tahoma"/>
          <w:bCs/>
        </w:rPr>
        <w:t>relevant personnel were not consulted</w:t>
      </w:r>
    </w:p>
    <w:p w14:paraId="113D1347" w14:textId="77777777" w:rsidR="00EB7430" w:rsidRPr="00D20BF6" w:rsidRDefault="00EB7430" w:rsidP="001261E4">
      <w:pPr>
        <w:numPr>
          <w:ilvl w:val="0"/>
          <w:numId w:val="29"/>
        </w:numPr>
        <w:ind w:right="-56"/>
        <w:jc w:val="both"/>
        <w:rPr>
          <w:rFonts w:asciiTheme="minorHAnsi" w:hAnsiTheme="minorHAnsi" w:cs="Tahoma"/>
          <w:bCs/>
        </w:rPr>
      </w:pPr>
      <w:r w:rsidRPr="00D20BF6">
        <w:rPr>
          <w:rFonts w:asciiTheme="minorHAnsi" w:hAnsiTheme="minorHAnsi" w:cs="Tahoma"/>
          <w:bCs/>
        </w:rPr>
        <w:t>agreed timescales were not adhered to</w:t>
      </w:r>
    </w:p>
    <w:p w14:paraId="113D1348" w14:textId="77777777" w:rsidR="00EB7430" w:rsidRDefault="00EB7430" w:rsidP="001261E4">
      <w:pPr>
        <w:numPr>
          <w:ilvl w:val="0"/>
          <w:numId w:val="29"/>
        </w:numPr>
        <w:ind w:right="-56"/>
        <w:jc w:val="both"/>
        <w:rPr>
          <w:rFonts w:asciiTheme="minorHAnsi" w:hAnsiTheme="minorHAnsi" w:cs="Tahoma"/>
          <w:bCs/>
        </w:rPr>
      </w:pPr>
      <w:r w:rsidRPr="00D20BF6">
        <w:rPr>
          <w:rFonts w:asciiTheme="minorHAnsi" w:hAnsiTheme="minorHAnsi" w:cs="Tahoma"/>
          <w:bCs/>
        </w:rPr>
        <w:t xml:space="preserve">communications were incomplete </w:t>
      </w:r>
    </w:p>
    <w:p w14:paraId="113D1349" w14:textId="77777777" w:rsidR="007D06A4" w:rsidRPr="00D20BF6" w:rsidRDefault="007D06A4" w:rsidP="007D06A4">
      <w:pPr>
        <w:ind w:left="360" w:right="-56"/>
        <w:jc w:val="both"/>
        <w:rPr>
          <w:rFonts w:asciiTheme="minorHAnsi" w:hAnsiTheme="minorHAnsi" w:cs="Tahoma"/>
          <w:bCs/>
        </w:rPr>
      </w:pPr>
    </w:p>
    <w:p w14:paraId="113D134A" w14:textId="77777777" w:rsidR="00EB7430" w:rsidRPr="00D20BF6" w:rsidRDefault="00EB7430" w:rsidP="001261E4">
      <w:pPr>
        <w:ind w:right="-56"/>
        <w:jc w:val="both"/>
        <w:rPr>
          <w:rFonts w:asciiTheme="minorHAnsi" w:hAnsiTheme="minorHAnsi" w:cs="Tahoma"/>
          <w:bCs/>
        </w:rPr>
      </w:pPr>
      <w:r w:rsidRPr="00D20BF6">
        <w:rPr>
          <w:rFonts w:asciiTheme="minorHAnsi" w:hAnsiTheme="minorHAnsi" w:cs="Tahoma"/>
          <w:bCs/>
        </w:rPr>
        <w:t>In relation to (b), the applicant may believe that this medicine remains the only therapeutic option for the patient and that further review of the clinical evidence is necessary.</w:t>
      </w:r>
    </w:p>
    <w:p w14:paraId="113D134B" w14:textId="77777777" w:rsidR="00EB7430" w:rsidRPr="00D20BF6" w:rsidRDefault="00EB7430" w:rsidP="001261E4">
      <w:pPr>
        <w:ind w:right="-56"/>
        <w:jc w:val="both"/>
        <w:rPr>
          <w:rFonts w:asciiTheme="minorHAnsi" w:hAnsiTheme="minorHAnsi" w:cs="Tahoma"/>
          <w:b/>
          <w:color w:val="333399"/>
        </w:rPr>
      </w:pPr>
      <w:r w:rsidRPr="00D20BF6">
        <w:rPr>
          <w:rFonts w:asciiTheme="minorHAnsi" w:hAnsiTheme="minorHAnsi" w:cs="Tahoma"/>
        </w:rPr>
        <w:t xml:space="preserve"> </w:t>
      </w:r>
    </w:p>
    <w:p w14:paraId="113D134C" w14:textId="77777777" w:rsidR="007D06A4" w:rsidRPr="00DA0D5F" w:rsidRDefault="007D06A4" w:rsidP="007D06A4">
      <w:pPr>
        <w:pStyle w:val="BodyText"/>
        <w:numPr>
          <w:ilvl w:val="0"/>
          <w:numId w:val="36"/>
        </w:numPr>
        <w:pBdr>
          <w:top w:val="single" w:sz="4" w:space="1" w:color="auto"/>
        </w:pBdr>
        <w:jc w:val="both"/>
        <w:rPr>
          <w:rFonts w:asciiTheme="minorHAnsi" w:hAnsiTheme="minorHAnsi" w:cstheme="minorHAnsi"/>
          <w:color w:val="1F497D"/>
        </w:rPr>
      </w:pPr>
      <w:r w:rsidRPr="00DA0D5F">
        <w:rPr>
          <w:rFonts w:asciiTheme="minorHAnsi" w:hAnsiTheme="minorHAnsi" w:cstheme="minorHAnsi"/>
          <w:color w:val="1F497D"/>
        </w:rPr>
        <w:t>Panel Membership</w:t>
      </w:r>
    </w:p>
    <w:p w14:paraId="113D134D" w14:textId="50428D26" w:rsidR="007D06A4" w:rsidRPr="00D20BF6" w:rsidRDefault="007D06A4" w:rsidP="49EB5C57">
      <w:pPr>
        <w:ind w:right="-56"/>
        <w:jc w:val="both"/>
        <w:rPr>
          <w:rFonts w:asciiTheme="minorHAnsi" w:hAnsiTheme="minorHAnsi" w:cs="Tahoma"/>
        </w:rPr>
      </w:pPr>
      <w:r w:rsidRPr="49EB5C57">
        <w:rPr>
          <w:rFonts w:asciiTheme="minorHAnsi" w:hAnsiTheme="minorHAnsi" w:cs="Tahoma"/>
        </w:rPr>
        <w:t>The Panel membership consists of the Board’s Medical Director</w:t>
      </w:r>
      <w:r w:rsidR="00E02BEF" w:rsidRPr="49EB5C57">
        <w:rPr>
          <w:rFonts w:asciiTheme="minorHAnsi" w:hAnsiTheme="minorHAnsi" w:cs="Tahoma"/>
        </w:rPr>
        <w:t xml:space="preserve"> </w:t>
      </w:r>
      <w:r w:rsidR="000301B6" w:rsidRPr="49EB5C57">
        <w:rPr>
          <w:rFonts w:asciiTheme="minorHAnsi" w:hAnsiTheme="minorHAnsi" w:cs="Tahoma"/>
        </w:rPr>
        <w:t>or Associate Medical Director</w:t>
      </w:r>
      <w:r w:rsidRPr="49EB5C57">
        <w:rPr>
          <w:rFonts w:asciiTheme="minorHAnsi" w:hAnsiTheme="minorHAnsi" w:cs="Tahoma"/>
        </w:rPr>
        <w:t xml:space="preserve">, the Director of Pharmacy or nominees and </w:t>
      </w:r>
      <w:r w:rsidR="00DB2CD5" w:rsidRPr="49EB5C57">
        <w:rPr>
          <w:rFonts w:asciiTheme="minorHAnsi" w:hAnsiTheme="minorHAnsi" w:cs="Tahoma"/>
        </w:rPr>
        <w:t>E</w:t>
      </w:r>
      <w:r w:rsidR="000301B6" w:rsidRPr="49EB5C57">
        <w:rPr>
          <w:rFonts w:asciiTheme="minorHAnsi" w:hAnsiTheme="minorHAnsi" w:cs="Tahoma"/>
        </w:rPr>
        <w:t xml:space="preserve">xpert </w:t>
      </w:r>
      <w:r w:rsidR="00DB2CD5" w:rsidRPr="49EB5C57">
        <w:rPr>
          <w:rFonts w:asciiTheme="minorHAnsi" w:hAnsiTheme="minorHAnsi" w:cs="Tahoma"/>
        </w:rPr>
        <w:t>A</w:t>
      </w:r>
      <w:r w:rsidR="00692403" w:rsidRPr="49EB5C57">
        <w:rPr>
          <w:rFonts w:asciiTheme="minorHAnsi" w:hAnsiTheme="minorHAnsi" w:cs="Tahoma"/>
        </w:rPr>
        <w:t>dviser, if required</w:t>
      </w:r>
      <w:r w:rsidRPr="49EB5C57">
        <w:rPr>
          <w:rFonts w:asciiTheme="minorHAnsi" w:hAnsiTheme="minorHAnsi" w:cs="Tahoma"/>
        </w:rPr>
        <w:t xml:space="preserve">.  </w:t>
      </w:r>
    </w:p>
    <w:p w14:paraId="113D134E" w14:textId="77777777" w:rsidR="007D06A4" w:rsidRPr="00D20BF6" w:rsidRDefault="007D06A4" w:rsidP="007D06A4">
      <w:pPr>
        <w:ind w:right="-56"/>
        <w:jc w:val="both"/>
        <w:rPr>
          <w:rFonts w:asciiTheme="minorHAnsi" w:hAnsiTheme="minorHAnsi" w:cs="Tahoma"/>
        </w:rPr>
      </w:pPr>
      <w:r w:rsidRPr="00D20BF6">
        <w:rPr>
          <w:rFonts w:asciiTheme="minorHAnsi" w:hAnsiTheme="minorHAnsi" w:cs="Tahoma"/>
        </w:rPr>
        <w:t xml:space="preserve"> </w:t>
      </w:r>
    </w:p>
    <w:p w14:paraId="745A17E1" w14:textId="3D42181E" w:rsidR="00203A97" w:rsidRDefault="007D06A4" w:rsidP="49EB5C57">
      <w:pPr>
        <w:rPr>
          <w:rFonts w:asciiTheme="minorHAnsi" w:hAnsiTheme="minorHAnsi" w:cs="Tahoma"/>
        </w:rPr>
      </w:pPr>
      <w:r w:rsidRPr="49EB5C57">
        <w:rPr>
          <w:rFonts w:asciiTheme="minorHAnsi" w:hAnsiTheme="minorHAnsi" w:cs="Tahoma"/>
        </w:rPr>
        <w:t xml:space="preserve">The Board’s </w:t>
      </w:r>
      <w:r w:rsidR="00CD4247" w:rsidRPr="49EB5C57">
        <w:rPr>
          <w:rFonts w:asciiTheme="minorHAnsi" w:hAnsiTheme="minorHAnsi" w:cs="Tahoma"/>
        </w:rPr>
        <w:t xml:space="preserve">Deputy Director </w:t>
      </w:r>
      <w:r w:rsidR="00BA02C1" w:rsidRPr="49EB5C57">
        <w:rPr>
          <w:rFonts w:asciiTheme="minorHAnsi" w:hAnsiTheme="minorHAnsi" w:cs="Tahoma"/>
        </w:rPr>
        <w:t>of</w:t>
      </w:r>
      <w:r w:rsidR="00CD4247" w:rsidRPr="49EB5C57">
        <w:rPr>
          <w:rFonts w:asciiTheme="minorHAnsi" w:hAnsiTheme="minorHAnsi" w:cs="Tahoma"/>
        </w:rPr>
        <w:t xml:space="preserve"> </w:t>
      </w:r>
      <w:r w:rsidR="00BA02C1" w:rsidRPr="49EB5C57">
        <w:rPr>
          <w:rFonts w:asciiTheme="minorHAnsi" w:hAnsiTheme="minorHAnsi" w:cs="Tahoma"/>
        </w:rPr>
        <w:t xml:space="preserve">Pharmacy, </w:t>
      </w:r>
      <w:r w:rsidR="00CD4247" w:rsidRPr="49EB5C57">
        <w:rPr>
          <w:rFonts w:asciiTheme="minorHAnsi" w:hAnsiTheme="minorHAnsi" w:cs="Tahoma"/>
        </w:rPr>
        <w:t>Medicines and Pharmacy Governance</w:t>
      </w:r>
      <w:r w:rsidRPr="49EB5C57">
        <w:rPr>
          <w:rFonts w:asciiTheme="minorHAnsi" w:hAnsiTheme="minorHAnsi" w:cs="Tahoma"/>
        </w:rPr>
        <w:t xml:space="preserve"> should attend as observer and recorder. Some circumstances may demand the inclusion of an Expert Adviser to the Panel. This will be at the discretion of the Panel Chair</w:t>
      </w:r>
      <w:r w:rsidR="09ED00C2" w:rsidRPr="49EB5C57">
        <w:rPr>
          <w:rFonts w:asciiTheme="minorHAnsi" w:hAnsiTheme="minorHAnsi" w:cs="Tahoma"/>
        </w:rPr>
        <w:t>.</w:t>
      </w:r>
    </w:p>
    <w:p w14:paraId="62A8BE08" w14:textId="77777777" w:rsidR="00CE4829" w:rsidRDefault="00CE4829" w:rsidP="49EB5C57">
      <w:pPr>
        <w:rPr>
          <w:rFonts w:asciiTheme="minorHAnsi" w:hAnsiTheme="minorHAnsi" w:cs="Tahoma"/>
        </w:rPr>
      </w:pPr>
    </w:p>
    <w:p w14:paraId="566F45C6" w14:textId="77777777" w:rsidR="00CE4829" w:rsidRDefault="00CE4829" w:rsidP="49EB5C57">
      <w:pPr>
        <w:rPr>
          <w:rFonts w:asciiTheme="minorHAnsi" w:hAnsiTheme="minorHAnsi" w:cs="Tahoma"/>
        </w:rPr>
      </w:pPr>
    </w:p>
    <w:p w14:paraId="497E6C9B" w14:textId="77777777" w:rsidR="00BA5195" w:rsidRPr="00D20BF6" w:rsidRDefault="00BA5195" w:rsidP="49EB5C57">
      <w:pPr>
        <w:rPr>
          <w:rFonts w:asciiTheme="minorHAnsi" w:hAnsiTheme="minorHAnsi" w:cs="Tahoma"/>
          <w:b/>
          <w:bCs/>
          <w:color w:val="333399"/>
        </w:rPr>
      </w:pPr>
    </w:p>
    <w:p w14:paraId="113D1352" w14:textId="581A3869" w:rsidR="00EB7430" w:rsidRPr="007D06A4" w:rsidRDefault="00EB7430" w:rsidP="49EB5C57">
      <w:pPr>
        <w:pStyle w:val="BodyText"/>
        <w:numPr>
          <w:ilvl w:val="0"/>
          <w:numId w:val="36"/>
        </w:numPr>
        <w:pBdr>
          <w:top w:val="single" w:sz="4" w:space="1" w:color="auto"/>
        </w:pBdr>
        <w:jc w:val="both"/>
        <w:rPr>
          <w:rFonts w:asciiTheme="minorHAnsi" w:hAnsiTheme="minorHAnsi" w:cstheme="minorBidi"/>
          <w:color w:val="1F497D"/>
        </w:rPr>
      </w:pPr>
      <w:r w:rsidRPr="49EB5C57">
        <w:rPr>
          <w:rFonts w:asciiTheme="minorHAnsi" w:hAnsiTheme="minorHAnsi" w:cstheme="minorBidi"/>
          <w:color w:val="1F497D" w:themeColor="text2"/>
        </w:rPr>
        <w:lastRenderedPageBreak/>
        <w:t>A</w:t>
      </w:r>
      <w:r w:rsidR="007D06A4" w:rsidRPr="49EB5C57">
        <w:rPr>
          <w:rFonts w:asciiTheme="minorHAnsi" w:hAnsiTheme="minorHAnsi" w:cstheme="minorBidi"/>
          <w:color w:val="1F497D" w:themeColor="text2"/>
        </w:rPr>
        <w:t>pplication to patients outwith NHSGGC</w:t>
      </w:r>
      <w:r w:rsidRPr="49EB5C57">
        <w:rPr>
          <w:rFonts w:asciiTheme="minorHAnsi" w:hAnsiTheme="minorHAnsi" w:cstheme="minorBidi"/>
          <w:color w:val="1F497D" w:themeColor="text2"/>
        </w:rPr>
        <w:t xml:space="preserve"> </w:t>
      </w:r>
    </w:p>
    <w:p w14:paraId="113D1353" w14:textId="7324C714" w:rsidR="00EB7430" w:rsidRPr="00D20BF6" w:rsidRDefault="00EB7430" w:rsidP="49EB5C57">
      <w:pPr>
        <w:ind w:right="-56"/>
        <w:jc w:val="both"/>
        <w:rPr>
          <w:rFonts w:asciiTheme="minorHAnsi" w:hAnsiTheme="minorHAnsi" w:cs="Tahoma"/>
        </w:rPr>
      </w:pPr>
      <w:r w:rsidRPr="49EB5C57">
        <w:rPr>
          <w:rFonts w:asciiTheme="minorHAnsi" w:hAnsiTheme="minorHAnsi" w:cs="Tahoma"/>
        </w:rPr>
        <w:t xml:space="preserve">For patients being treated in a </w:t>
      </w:r>
      <w:r w:rsidR="00E1518C" w:rsidRPr="49EB5C57">
        <w:rPr>
          <w:rFonts w:asciiTheme="minorHAnsi" w:hAnsiTheme="minorHAnsi" w:cs="Tahoma"/>
        </w:rPr>
        <w:t xml:space="preserve">health </w:t>
      </w:r>
      <w:r w:rsidRPr="49EB5C57">
        <w:rPr>
          <w:rFonts w:asciiTheme="minorHAnsi" w:hAnsiTheme="minorHAnsi" w:cs="Tahoma"/>
        </w:rPr>
        <w:t xml:space="preserve">Board in which they are not resident, in line with the original IPTR, the </w:t>
      </w:r>
      <w:r w:rsidR="00F71235" w:rsidRPr="49EB5C57">
        <w:rPr>
          <w:rFonts w:asciiTheme="minorHAnsi" w:hAnsiTheme="minorHAnsi" w:cs="Tahoma"/>
        </w:rPr>
        <w:t>h</w:t>
      </w:r>
      <w:r w:rsidRPr="49EB5C57">
        <w:rPr>
          <w:rFonts w:asciiTheme="minorHAnsi" w:hAnsiTheme="minorHAnsi" w:cs="Tahoma"/>
        </w:rPr>
        <w:t xml:space="preserve">ost Board manages the appeal with a </w:t>
      </w:r>
      <w:r w:rsidR="00F71235" w:rsidRPr="49EB5C57">
        <w:rPr>
          <w:rFonts w:asciiTheme="minorHAnsi" w:hAnsiTheme="minorHAnsi" w:cs="Tahoma"/>
        </w:rPr>
        <w:t>h</w:t>
      </w:r>
      <w:r w:rsidRPr="49EB5C57">
        <w:rPr>
          <w:rFonts w:asciiTheme="minorHAnsi" w:hAnsiTheme="minorHAnsi" w:cs="Tahoma"/>
        </w:rPr>
        <w:t xml:space="preserve">ome Board representative to participate as observer or contribute to the decision making, dependent on the projected </w:t>
      </w:r>
      <w:r w:rsidRPr="49EB5C57">
        <w:rPr>
          <w:rFonts w:asciiTheme="minorHAnsi" w:hAnsiTheme="minorHAnsi" w:cs="Tahoma"/>
          <w:color w:val="000000" w:themeColor="text1"/>
        </w:rPr>
        <w:t>cost per patient treatment or cost per patient per annum for continuing treatment, as follows:</w:t>
      </w:r>
    </w:p>
    <w:p w14:paraId="113D1354" w14:textId="77777777" w:rsidR="00EB7430" w:rsidRPr="00D20BF6" w:rsidRDefault="00EB7430" w:rsidP="001261E4">
      <w:pPr>
        <w:ind w:right="-56"/>
        <w:jc w:val="both"/>
        <w:rPr>
          <w:rFonts w:asciiTheme="minorHAnsi" w:hAnsiTheme="minorHAnsi" w:cs="Tahoma"/>
          <w:color w:val="000000"/>
        </w:rPr>
      </w:pPr>
    </w:p>
    <w:p w14:paraId="113D1355" w14:textId="77777777" w:rsidR="00EB7430" w:rsidRPr="007D06A4" w:rsidRDefault="00EB7430" w:rsidP="007D06A4">
      <w:pPr>
        <w:pStyle w:val="ListParagraph"/>
        <w:numPr>
          <w:ilvl w:val="0"/>
          <w:numId w:val="41"/>
        </w:numPr>
        <w:ind w:right="-56"/>
        <w:jc w:val="both"/>
        <w:rPr>
          <w:rFonts w:asciiTheme="minorHAnsi" w:hAnsiTheme="minorHAnsi" w:cs="Tahoma"/>
          <w:bCs/>
        </w:rPr>
      </w:pPr>
      <w:r w:rsidRPr="007D06A4">
        <w:rPr>
          <w:rFonts w:asciiTheme="minorHAnsi" w:hAnsiTheme="minorHAnsi" w:cs="Tahoma"/>
          <w:bCs/>
        </w:rPr>
        <w:t>&lt; £25,000</w:t>
      </w:r>
    </w:p>
    <w:p w14:paraId="113D1356" w14:textId="790C602B" w:rsidR="00EB7430" w:rsidRPr="00D20BF6" w:rsidRDefault="00EB7430" w:rsidP="49EB5C57">
      <w:pPr>
        <w:ind w:right="-56"/>
        <w:jc w:val="both"/>
        <w:rPr>
          <w:rFonts w:asciiTheme="minorHAnsi" w:hAnsiTheme="minorHAnsi" w:cs="Tahoma"/>
        </w:rPr>
      </w:pPr>
      <w:r w:rsidRPr="49EB5C57">
        <w:rPr>
          <w:rFonts w:asciiTheme="minorHAnsi" w:hAnsiTheme="minorHAnsi" w:cs="Tahoma"/>
        </w:rPr>
        <w:t xml:space="preserve">An invitation will be extended to the Medical Director of the relevant </w:t>
      </w:r>
      <w:r w:rsidR="00F71235" w:rsidRPr="49EB5C57">
        <w:rPr>
          <w:rFonts w:asciiTheme="minorHAnsi" w:hAnsiTheme="minorHAnsi" w:cs="Tahoma"/>
        </w:rPr>
        <w:t xml:space="preserve">home </w:t>
      </w:r>
      <w:r w:rsidRPr="49EB5C57">
        <w:rPr>
          <w:rFonts w:asciiTheme="minorHAnsi" w:hAnsiTheme="minorHAnsi" w:cs="Tahoma"/>
        </w:rPr>
        <w:t xml:space="preserve">Board (or their nominee) to attend as an observer of the process (see section 11 below for definition of terms). The home Board Medical Director or a nominated deputy will be notified before the process begins and the panel’s decision will be conveyed to him/her before it is conveyed to the appellant, the </w:t>
      </w:r>
      <w:r w:rsidR="00D3271F" w:rsidRPr="49EB5C57">
        <w:rPr>
          <w:rFonts w:asciiTheme="minorHAnsi" w:hAnsiTheme="minorHAnsi" w:cs="Tahoma"/>
        </w:rPr>
        <w:t>Chief of Medicine/Clinical Director</w:t>
      </w:r>
      <w:r w:rsidRPr="49EB5C57">
        <w:rPr>
          <w:rFonts w:asciiTheme="minorHAnsi" w:hAnsiTheme="minorHAnsi" w:cs="Tahoma"/>
        </w:rPr>
        <w:t xml:space="preserve"> and the patient.</w:t>
      </w:r>
    </w:p>
    <w:p w14:paraId="113D1357" w14:textId="77777777" w:rsidR="00EB7430" w:rsidRPr="00D20BF6" w:rsidRDefault="00EB7430" w:rsidP="001261E4">
      <w:pPr>
        <w:ind w:right="-56"/>
        <w:jc w:val="both"/>
        <w:rPr>
          <w:rFonts w:asciiTheme="minorHAnsi" w:hAnsiTheme="minorHAnsi" w:cs="Tahoma"/>
        </w:rPr>
      </w:pPr>
    </w:p>
    <w:p w14:paraId="113D1358" w14:textId="77777777" w:rsidR="00EB7430" w:rsidRPr="007D06A4" w:rsidRDefault="007D06A4" w:rsidP="007D06A4">
      <w:pPr>
        <w:pStyle w:val="ListParagraph"/>
        <w:numPr>
          <w:ilvl w:val="0"/>
          <w:numId w:val="41"/>
        </w:numPr>
        <w:ind w:right="-56"/>
        <w:jc w:val="both"/>
        <w:rPr>
          <w:rFonts w:asciiTheme="minorHAnsi" w:hAnsiTheme="minorHAnsi" w:cs="Tahoma"/>
          <w:bCs/>
        </w:rPr>
      </w:pPr>
      <w:r>
        <w:rPr>
          <w:rFonts w:asciiTheme="minorHAnsi" w:hAnsiTheme="minorHAnsi" w:cs="Tahoma"/>
          <w:bCs/>
        </w:rPr>
        <w:t>≥</w:t>
      </w:r>
      <w:r w:rsidR="00EB7430" w:rsidRPr="007D06A4">
        <w:rPr>
          <w:rFonts w:asciiTheme="minorHAnsi" w:hAnsiTheme="minorHAnsi" w:cs="Tahoma"/>
          <w:bCs/>
        </w:rPr>
        <w:t xml:space="preserve"> £25,000</w:t>
      </w:r>
    </w:p>
    <w:p w14:paraId="113D1359" w14:textId="522EA53F" w:rsidR="00EB7430" w:rsidRPr="00D20BF6" w:rsidRDefault="00EB7430" w:rsidP="49EB5C57">
      <w:pPr>
        <w:ind w:right="-56"/>
        <w:jc w:val="both"/>
        <w:rPr>
          <w:rFonts w:asciiTheme="minorHAnsi" w:hAnsiTheme="minorHAnsi" w:cs="Tahoma"/>
          <w:u w:val="single"/>
        </w:rPr>
      </w:pPr>
      <w:r w:rsidRPr="49EB5C57">
        <w:rPr>
          <w:rFonts w:asciiTheme="minorHAnsi" w:hAnsiTheme="minorHAnsi" w:cs="Tahoma"/>
        </w:rPr>
        <w:t xml:space="preserve">An invitation will be extended to the Medical Director of the relevant </w:t>
      </w:r>
      <w:r w:rsidR="00B16B76" w:rsidRPr="49EB5C57">
        <w:rPr>
          <w:rFonts w:asciiTheme="minorHAnsi" w:hAnsiTheme="minorHAnsi" w:cs="Tahoma"/>
        </w:rPr>
        <w:t xml:space="preserve">home </w:t>
      </w:r>
      <w:r w:rsidRPr="49EB5C57">
        <w:rPr>
          <w:rFonts w:asciiTheme="minorHAnsi" w:hAnsiTheme="minorHAnsi" w:cs="Tahoma"/>
        </w:rPr>
        <w:t>Board (or their nominee) to participate as a Panel Member with full voting rights.</w:t>
      </w:r>
    </w:p>
    <w:p w14:paraId="113D135A" w14:textId="77777777" w:rsidR="00EB7430" w:rsidRPr="00D20BF6" w:rsidRDefault="00EB7430" w:rsidP="001261E4">
      <w:pPr>
        <w:ind w:right="-56"/>
        <w:jc w:val="both"/>
        <w:rPr>
          <w:rFonts w:asciiTheme="minorHAnsi" w:hAnsiTheme="minorHAnsi" w:cs="Tahoma"/>
          <w:u w:val="single"/>
        </w:rPr>
      </w:pPr>
    </w:p>
    <w:p w14:paraId="113D135B" w14:textId="11899B4D" w:rsidR="00EB7430" w:rsidRPr="00D20BF6" w:rsidRDefault="00EB7430" w:rsidP="49EB5C57">
      <w:pPr>
        <w:ind w:right="-56"/>
        <w:jc w:val="both"/>
        <w:rPr>
          <w:rFonts w:asciiTheme="minorHAnsi" w:hAnsiTheme="minorHAnsi" w:cs="Tahoma"/>
        </w:rPr>
      </w:pPr>
      <w:r w:rsidRPr="49EB5C57">
        <w:rPr>
          <w:rFonts w:asciiTheme="minorHAnsi" w:hAnsiTheme="minorHAnsi" w:cs="Tahoma"/>
        </w:rPr>
        <w:t xml:space="preserve">The decision of NHSGGC panel will be final and not subject to a further review at home Board level. </w:t>
      </w:r>
    </w:p>
    <w:p w14:paraId="113D135C" w14:textId="5608923E" w:rsidR="00EB7430" w:rsidRPr="00D20BF6" w:rsidRDefault="00EB7430" w:rsidP="49EB5C57">
      <w:pPr>
        <w:ind w:right="-56"/>
        <w:jc w:val="both"/>
        <w:rPr>
          <w:rFonts w:asciiTheme="minorHAnsi" w:hAnsiTheme="minorHAnsi" w:cs="Tahoma"/>
        </w:rPr>
      </w:pPr>
      <w:r w:rsidRPr="49EB5C57">
        <w:rPr>
          <w:rFonts w:asciiTheme="minorHAnsi" w:hAnsiTheme="minorHAnsi" w:cs="Tahoma"/>
        </w:rPr>
        <w:t xml:space="preserve">Following receipt of a decision from an individual case, the </w:t>
      </w:r>
      <w:r w:rsidR="00B16B76" w:rsidRPr="49EB5C57">
        <w:rPr>
          <w:rFonts w:asciiTheme="minorHAnsi" w:hAnsiTheme="minorHAnsi" w:cs="Tahoma"/>
        </w:rPr>
        <w:t>h</w:t>
      </w:r>
      <w:r w:rsidRPr="49EB5C57">
        <w:rPr>
          <w:rFonts w:asciiTheme="minorHAnsi" w:hAnsiTheme="minorHAnsi" w:cs="Tahoma"/>
        </w:rPr>
        <w:t>ome Board has the opportunity of providing feedback to inform the process for future Exceptional Case Appeal Panels.</w:t>
      </w:r>
    </w:p>
    <w:p w14:paraId="113D135D" w14:textId="77777777" w:rsidR="00EB7430" w:rsidRPr="00D20BF6" w:rsidRDefault="00EB7430" w:rsidP="001261E4">
      <w:pPr>
        <w:ind w:right="-56"/>
        <w:jc w:val="both"/>
        <w:rPr>
          <w:rFonts w:asciiTheme="minorHAnsi" w:hAnsiTheme="minorHAnsi" w:cs="Tahoma"/>
          <w:bCs/>
        </w:rPr>
      </w:pPr>
    </w:p>
    <w:p w14:paraId="113D135E" w14:textId="77777777" w:rsidR="00EB7430" w:rsidRPr="007D06A4" w:rsidRDefault="00EB7430" w:rsidP="007D06A4">
      <w:pPr>
        <w:pStyle w:val="BodyText"/>
        <w:numPr>
          <w:ilvl w:val="0"/>
          <w:numId w:val="36"/>
        </w:numPr>
        <w:pBdr>
          <w:top w:val="single" w:sz="4" w:space="1" w:color="auto"/>
        </w:pBdr>
        <w:jc w:val="both"/>
        <w:rPr>
          <w:rFonts w:asciiTheme="minorHAnsi" w:hAnsiTheme="minorHAnsi" w:cstheme="minorHAnsi"/>
          <w:color w:val="1F497D"/>
        </w:rPr>
      </w:pPr>
      <w:r w:rsidRPr="007D06A4">
        <w:rPr>
          <w:rFonts w:asciiTheme="minorHAnsi" w:hAnsiTheme="minorHAnsi" w:cstheme="minorHAnsi"/>
          <w:color w:val="1F497D"/>
        </w:rPr>
        <w:t>Timescale</w:t>
      </w:r>
    </w:p>
    <w:p w14:paraId="113D135F" w14:textId="29A3A254" w:rsidR="00EB7430" w:rsidRPr="00D20BF6" w:rsidRDefault="00EB7430" w:rsidP="49EB5C57">
      <w:pPr>
        <w:ind w:right="-56"/>
        <w:jc w:val="both"/>
        <w:rPr>
          <w:rFonts w:asciiTheme="minorHAnsi" w:hAnsiTheme="minorHAnsi" w:cs="Tahoma"/>
        </w:rPr>
      </w:pPr>
      <w:r w:rsidRPr="49EB5C57">
        <w:rPr>
          <w:rFonts w:asciiTheme="minorHAnsi" w:hAnsiTheme="minorHAnsi" w:cs="Tahoma"/>
        </w:rPr>
        <w:t xml:space="preserve">The appeal will be heard within 20 working days of submission. A balance should be struck to allow collation and review of the necessary evidence, while avoiding delay in outcome. It is recognised that some circumstances will demand the Panel to be convened urgently. This will be considered on a </w:t>
      </w:r>
      <w:r w:rsidR="07872315" w:rsidRPr="49EB5C57">
        <w:rPr>
          <w:rFonts w:asciiTheme="minorHAnsi" w:hAnsiTheme="minorHAnsi" w:cs="Tahoma"/>
        </w:rPr>
        <w:t>case-by-case</w:t>
      </w:r>
      <w:r w:rsidRPr="49EB5C57">
        <w:rPr>
          <w:rFonts w:asciiTheme="minorHAnsi" w:hAnsiTheme="minorHAnsi" w:cs="Tahoma"/>
        </w:rPr>
        <w:t xml:space="preserve"> basis, with guidance from Specialist Advisers, as required.</w:t>
      </w:r>
    </w:p>
    <w:p w14:paraId="113D1360" w14:textId="77777777" w:rsidR="00EB7430" w:rsidRPr="00D20BF6" w:rsidRDefault="00EB7430" w:rsidP="001261E4">
      <w:pPr>
        <w:ind w:right="-56"/>
        <w:jc w:val="both"/>
        <w:rPr>
          <w:rFonts w:asciiTheme="minorHAnsi" w:hAnsiTheme="minorHAnsi" w:cs="Tahoma"/>
        </w:rPr>
      </w:pPr>
    </w:p>
    <w:p w14:paraId="113D1361" w14:textId="77777777" w:rsidR="00EB7430" w:rsidRPr="007D06A4" w:rsidRDefault="00EB7430" w:rsidP="007D06A4">
      <w:pPr>
        <w:pStyle w:val="BodyText"/>
        <w:numPr>
          <w:ilvl w:val="0"/>
          <w:numId w:val="36"/>
        </w:numPr>
        <w:pBdr>
          <w:top w:val="single" w:sz="4" w:space="1" w:color="auto"/>
        </w:pBdr>
        <w:jc w:val="both"/>
        <w:rPr>
          <w:rFonts w:asciiTheme="minorHAnsi" w:hAnsiTheme="minorHAnsi" w:cstheme="minorHAnsi"/>
          <w:color w:val="1F497D"/>
        </w:rPr>
      </w:pPr>
      <w:r w:rsidRPr="007D06A4">
        <w:rPr>
          <w:rFonts w:asciiTheme="minorHAnsi" w:hAnsiTheme="minorHAnsi" w:cstheme="minorHAnsi"/>
          <w:color w:val="1F497D"/>
        </w:rPr>
        <w:t>Nature of evidence</w:t>
      </w:r>
    </w:p>
    <w:p w14:paraId="113D1362" w14:textId="4044FDDC" w:rsidR="00EB7430" w:rsidRPr="00D20BF6" w:rsidRDefault="00EB7430" w:rsidP="49EB5C57">
      <w:pPr>
        <w:ind w:right="-56"/>
        <w:jc w:val="both"/>
        <w:rPr>
          <w:rFonts w:asciiTheme="minorHAnsi" w:hAnsiTheme="minorHAnsi" w:cs="Tahoma"/>
        </w:rPr>
      </w:pPr>
      <w:r w:rsidRPr="49EB5C57">
        <w:rPr>
          <w:rFonts w:asciiTheme="minorHAnsi" w:hAnsiTheme="minorHAnsi" w:cs="Tahoma"/>
        </w:rPr>
        <w:t xml:space="preserve">The initial onus is on the appellant. </w:t>
      </w:r>
      <w:r w:rsidR="700B383E" w:rsidRPr="49EB5C57">
        <w:rPr>
          <w:rFonts w:asciiTheme="minorHAnsi" w:hAnsiTheme="minorHAnsi" w:cs="Tahoma"/>
        </w:rPr>
        <w:t>Typically,</w:t>
      </w:r>
      <w:r w:rsidRPr="49EB5C57">
        <w:rPr>
          <w:rFonts w:asciiTheme="minorHAnsi" w:hAnsiTheme="minorHAnsi" w:cs="Tahoma"/>
        </w:rPr>
        <w:t xml:space="preserve"> this will include:</w:t>
      </w:r>
    </w:p>
    <w:p w14:paraId="113D1363" w14:textId="5A4CDFAA" w:rsidR="00EB7430" w:rsidRPr="00D20BF6" w:rsidRDefault="00EB7430" w:rsidP="49EB5C57">
      <w:pPr>
        <w:numPr>
          <w:ilvl w:val="0"/>
          <w:numId w:val="30"/>
        </w:numPr>
        <w:ind w:right="-56"/>
        <w:jc w:val="both"/>
        <w:rPr>
          <w:rFonts w:asciiTheme="minorHAnsi" w:hAnsiTheme="minorHAnsi" w:cs="Tahoma"/>
        </w:rPr>
      </w:pPr>
      <w:r w:rsidRPr="49EB5C57">
        <w:rPr>
          <w:rFonts w:asciiTheme="minorHAnsi" w:hAnsiTheme="minorHAnsi" w:cs="Tahoma"/>
        </w:rPr>
        <w:t>The original IPTR documentation which should include a clear description of how the appellant considers the patient meets the referral criteria for an</w:t>
      </w:r>
      <w:r w:rsidR="46ACD7B5" w:rsidRPr="49EB5C57">
        <w:rPr>
          <w:rFonts w:asciiTheme="minorHAnsi" w:hAnsiTheme="minorHAnsi" w:cs="Tahoma"/>
        </w:rPr>
        <w:t xml:space="preserve"> </w:t>
      </w:r>
      <w:r w:rsidR="00AE0002" w:rsidRPr="49EB5C57">
        <w:rPr>
          <w:rFonts w:asciiTheme="minorHAnsi" w:hAnsiTheme="minorHAnsi" w:cs="Tahoma"/>
        </w:rPr>
        <w:t>IPTR</w:t>
      </w:r>
    </w:p>
    <w:p w14:paraId="113D1364" w14:textId="77777777" w:rsidR="00EB7430" w:rsidRPr="00D20BF6" w:rsidRDefault="00EB7430" w:rsidP="002316AC">
      <w:pPr>
        <w:numPr>
          <w:ilvl w:val="0"/>
          <w:numId w:val="30"/>
        </w:numPr>
        <w:jc w:val="both"/>
        <w:rPr>
          <w:rFonts w:asciiTheme="minorHAnsi" w:hAnsiTheme="minorHAnsi" w:cs="Tahoma"/>
        </w:rPr>
      </w:pPr>
      <w:r w:rsidRPr="00D20BF6">
        <w:rPr>
          <w:rFonts w:asciiTheme="minorHAnsi" w:hAnsiTheme="minorHAnsi" w:cs="Tahoma"/>
        </w:rPr>
        <w:t xml:space="preserve">The incorporation of peer review into the evidence base, e.g. an MDT report or the opinion of the Clinical Team Lead if applicable  </w:t>
      </w:r>
    </w:p>
    <w:p w14:paraId="113D1365" w14:textId="1B38C9F6" w:rsidR="00EB7430" w:rsidRPr="00D20BF6" w:rsidRDefault="00EB7430" w:rsidP="49EB5C57">
      <w:pPr>
        <w:numPr>
          <w:ilvl w:val="0"/>
          <w:numId w:val="30"/>
        </w:numPr>
        <w:ind w:right="-56"/>
        <w:jc w:val="both"/>
        <w:rPr>
          <w:rFonts w:asciiTheme="minorHAnsi" w:hAnsiTheme="minorHAnsi" w:cs="Tahoma"/>
        </w:rPr>
      </w:pPr>
      <w:r w:rsidRPr="49EB5C57">
        <w:rPr>
          <w:rFonts w:asciiTheme="minorHAnsi" w:hAnsiTheme="minorHAnsi" w:cs="Tahoma"/>
        </w:rPr>
        <w:t>The patient statement from the original IPTR documentation, if completed</w:t>
      </w:r>
    </w:p>
    <w:p w14:paraId="113D1366" w14:textId="77777777" w:rsidR="00EB7430" w:rsidRPr="00D20BF6" w:rsidRDefault="00EB7430" w:rsidP="001261E4">
      <w:pPr>
        <w:numPr>
          <w:ilvl w:val="0"/>
          <w:numId w:val="30"/>
        </w:numPr>
        <w:ind w:right="-56"/>
        <w:jc w:val="both"/>
        <w:rPr>
          <w:rFonts w:asciiTheme="minorHAnsi" w:hAnsiTheme="minorHAnsi" w:cs="Tahoma"/>
        </w:rPr>
      </w:pPr>
      <w:r w:rsidRPr="00D20BF6">
        <w:rPr>
          <w:rFonts w:asciiTheme="minorHAnsi" w:hAnsiTheme="minorHAnsi" w:cs="Tahoma"/>
        </w:rPr>
        <w:t>A completed IPTR Appeal Form which should provide a clear description of which part(s) of the IPTR process the appellant considers that the IPTR panel did not implement appropriately, either in terms of the process or the interpretation of evidence</w:t>
      </w:r>
    </w:p>
    <w:p w14:paraId="113D1367" w14:textId="77777777" w:rsidR="00EB7430" w:rsidRPr="00D20BF6" w:rsidRDefault="00EB7430" w:rsidP="001261E4">
      <w:pPr>
        <w:ind w:right="-56"/>
        <w:jc w:val="both"/>
        <w:rPr>
          <w:rFonts w:asciiTheme="minorHAnsi" w:hAnsiTheme="minorHAnsi" w:cs="Tahoma"/>
        </w:rPr>
      </w:pPr>
    </w:p>
    <w:p w14:paraId="113D1368" w14:textId="55670274" w:rsidR="00EB7430" w:rsidRDefault="00EB7430" w:rsidP="49EB5C57">
      <w:pPr>
        <w:ind w:right="-56"/>
        <w:jc w:val="both"/>
        <w:rPr>
          <w:rFonts w:asciiTheme="minorHAnsi" w:hAnsiTheme="minorHAnsi" w:cs="Tahoma"/>
        </w:rPr>
      </w:pPr>
      <w:r w:rsidRPr="49EB5C57">
        <w:rPr>
          <w:rFonts w:asciiTheme="minorHAnsi" w:hAnsiTheme="minorHAnsi" w:cs="Tahoma"/>
        </w:rPr>
        <w:t>The original IPTR documentation including the IPTR panel rationale should be made available, along with the supporting review of the evidence base produced by the relevant Lead Clinical Pharmacist</w:t>
      </w:r>
      <w:r w:rsidR="000B547E" w:rsidRPr="49EB5C57">
        <w:rPr>
          <w:rFonts w:asciiTheme="minorHAnsi" w:hAnsiTheme="minorHAnsi" w:cs="Tahoma"/>
        </w:rPr>
        <w:t xml:space="preserve"> </w:t>
      </w:r>
      <w:r w:rsidRPr="49EB5C57">
        <w:rPr>
          <w:rFonts w:asciiTheme="minorHAnsi" w:hAnsiTheme="minorHAnsi" w:cs="Tahoma"/>
        </w:rPr>
        <w:t>which provides a collation of the following:</w:t>
      </w:r>
    </w:p>
    <w:p w14:paraId="4BE1A49C" w14:textId="77777777" w:rsidR="00CE4829" w:rsidRDefault="00CE4829" w:rsidP="49EB5C57">
      <w:pPr>
        <w:ind w:right="-56"/>
        <w:jc w:val="both"/>
        <w:rPr>
          <w:rFonts w:asciiTheme="minorHAnsi" w:hAnsiTheme="minorHAnsi" w:cs="Tahoma"/>
        </w:rPr>
      </w:pPr>
    </w:p>
    <w:p w14:paraId="6192E1B0" w14:textId="77777777" w:rsidR="00CE4829" w:rsidRPr="00D20BF6" w:rsidRDefault="00CE4829" w:rsidP="49EB5C57">
      <w:pPr>
        <w:ind w:right="-56"/>
        <w:jc w:val="both"/>
        <w:rPr>
          <w:rFonts w:asciiTheme="minorHAnsi" w:hAnsiTheme="minorHAnsi" w:cs="Tahoma"/>
        </w:rPr>
      </w:pPr>
    </w:p>
    <w:p w14:paraId="113D1369" w14:textId="77777777" w:rsidR="00EB7430" w:rsidRPr="00D20BF6" w:rsidRDefault="00EB7430" w:rsidP="001261E4">
      <w:pPr>
        <w:numPr>
          <w:ilvl w:val="0"/>
          <w:numId w:val="31"/>
        </w:numPr>
        <w:ind w:right="-56"/>
        <w:jc w:val="both"/>
        <w:rPr>
          <w:rFonts w:asciiTheme="minorHAnsi" w:hAnsiTheme="minorHAnsi" w:cs="Tahoma"/>
        </w:rPr>
      </w:pPr>
      <w:r w:rsidRPr="00D20BF6">
        <w:rPr>
          <w:rFonts w:asciiTheme="minorHAnsi" w:hAnsiTheme="minorHAnsi" w:cs="Tahoma"/>
        </w:rPr>
        <w:lastRenderedPageBreak/>
        <w:t>National prescribing advice e.g. SMC/ NICE / SIGN</w:t>
      </w:r>
    </w:p>
    <w:p w14:paraId="113D136A" w14:textId="77777777" w:rsidR="00EB7430" w:rsidRPr="00D20BF6" w:rsidRDefault="00EB7430" w:rsidP="49EB5C57">
      <w:pPr>
        <w:numPr>
          <w:ilvl w:val="0"/>
          <w:numId w:val="31"/>
        </w:numPr>
        <w:ind w:right="-56"/>
        <w:jc w:val="both"/>
        <w:rPr>
          <w:rFonts w:asciiTheme="minorHAnsi" w:hAnsiTheme="minorHAnsi" w:cs="Tahoma"/>
        </w:rPr>
      </w:pPr>
      <w:r w:rsidRPr="49EB5C57">
        <w:rPr>
          <w:rFonts w:asciiTheme="minorHAnsi" w:hAnsiTheme="minorHAnsi" w:cs="Tahoma"/>
        </w:rPr>
        <w:t xml:space="preserve">Assessment report / referral advice from an external specialist (if applicable) </w:t>
      </w:r>
    </w:p>
    <w:p w14:paraId="113D136B" w14:textId="77777777" w:rsidR="00EB7430" w:rsidRPr="00D20BF6" w:rsidRDefault="00EB7430" w:rsidP="001261E4">
      <w:pPr>
        <w:numPr>
          <w:ilvl w:val="0"/>
          <w:numId w:val="31"/>
        </w:numPr>
        <w:ind w:right="-56"/>
        <w:jc w:val="both"/>
        <w:rPr>
          <w:rFonts w:asciiTheme="minorHAnsi" w:hAnsiTheme="minorHAnsi" w:cs="Tahoma"/>
        </w:rPr>
      </w:pPr>
      <w:r w:rsidRPr="00D20BF6">
        <w:rPr>
          <w:rFonts w:asciiTheme="minorHAnsi" w:hAnsiTheme="minorHAnsi" w:cs="Tahoma"/>
        </w:rPr>
        <w:t>Interpretation/overview of the evidence base</w:t>
      </w:r>
    </w:p>
    <w:p w14:paraId="113D136C" w14:textId="77777777" w:rsidR="00EB7430" w:rsidRPr="00D20BF6" w:rsidRDefault="00EB7430" w:rsidP="001261E4">
      <w:pPr>
        <w:ind w:right="-56"/>
        <w:jc w:val="both"/>
        <w:rPr>
          <w:rFonts w:asciiTheme="minorHAnsi" w:hAnsiTheme="minorHAnsi" w:cs="Tahoma"/>
        </w:rPr>
      </w:pPr>
    </w:p>
    <w:p w14:paraId="113D136D" w14:textId="20E935F6" w:rsidR="00EB7430" w:rsidRPr="00D20BF6" w:rsidRDefault="00EB7430" w:rsidP="49EB5C57">
      <w:pPr>
        <w:ind w:right="-56"/>
        <w:jc w:val="both"/>
        <w:rPr>
          <w:rFonts w:asciiTheme="minorHAnsi" w:hAnsiTheme="minorHAnsi" w:cs="Tahoma"/>
        </w:rPr>
      </w:pPr>
      <w:r w:rsidRPr="49EB5C57">
        <w:rPr>
          <w:rFonts w:asciiTheme="minorHAnsi" w:hAnsiTheme="minorHAnsi" w:cs="Tahoma"/>
        </w:rPr>
        <w:t xml:space="preserve">This evidence will be submitted to the </w:t>
      </w:r>
      <w:r w:rsidR="00F1675E" w:rsidRPr="49EB5C57">
        <w:rPr>
          <w:rFonts w:asciiTheme="minorHAnsi" w:hAnsiTheme="minorHAnsi" w:cs="Tahoma"/>
        </w:rPr>
        <w:t xml:space="preserve">Deputy Director </w:t>
      </w:r>
      <w:r w:rsidR="00BA02C1" w:rsidRPr="49EB5C57">
        <w:rPr>
          <w:rFonts w:asciiTheme="minorHAnsi" w:hAnsiTheme="minorHAnsi" w:cs="Tahoma"/>
        </w:rPr>
        <w:t>of Pharmacy,</w:t>
      </w:r>
      <w:r w:rsidR="00F1675E" w:rsidRPr="49EB5C57">
        <w:rPr>
          <w:rFonts w:asciiTheme="minorHAnsi" w:hAnsiTheme="minorHAnsi" w:cs="Tahoma"/>
        </w:rPr>
        <w:t xml:space="preserve"> Medicines and Pharmacy Governance</w:t>
      </w:r>
      <w:r w:rsidRPr="49EB5C57">
        <w:rPr>
          <w:rFonts w:asciiTheme="minorHAnsi" w:hAnsiTheme="minorHAnsi" w:cs="Tahoma"/>
        </w:rPr>
        <w:t xml:space="preserve"> </w:t>
      </w:r>
      <w:r w:rsidR="00A6449D" w:rsidRPr="49EB5C57">
        <w:rPr>
          <w:rFonts w:asciiTheme="minorHAnsi" w:hAnsiTheme="minorHAnsi" w:cs="Tahoma"/>
        </w:rPr>
        <w:t xml:space="preserve">(or nominee) </w:t>
      </w:r>
      <w:r w:rsidRPr="49EB5C57">
        <w:rPr>
          <w:rFonts w:asciiTheme="minorHAnsi" w:hAnsiTheme="minorHAnsi" w:cs="Tahoma"/>
        </w:rPr>
        <w:t xml:space="preserve">who will confirm that the requirements are complete and will arrange circulation to the Panel Members. In each case, the patient and / or </w:t>
      </w:r>
      <w:r w:rsidR="00E06D34" w:rsidRPr="49EB5C57">
        <w:rPr>
          <w:rFonts w:asciiTheme="minorHAnsi" w:hAnsiTheme="minorHAnsi" w:cs="Tahoma"/>
        </w:rPr>
        <w:t xml:space="preserve">their </w:t>
      </w:r>
      <w:r w:rsidRPr="49EB5C57">
        <w:rPr>
          <w:rFonts w:asciiTheme="minorHAnsi" w:hAnsiTheme="minorHAnsi" w:cs="Tahoma"/>
        </w:rPr>
        <w:t xml:space="preserve">representative will be informed of the process. Only in exceptional circumstances and at the discretion of the Chair, will evidence be permitted for inclusion </w:t>
      </w:r>
      <w:proofErr w:type="spellStart"/>
      <w:r w:rsidRPr="49EB5C57">
        <w:rPr>
          <w:rFonts w:asciiTheme="minorHAnsi" w:hAnsiTheme="minorHAnsi" w:cs="Tahoma"/>
        </w:rPr>
        <w:t>outwith</w:t>
      </w:r>
      <w:proofErr w:type="spellEnd"/>
      <w:r w:rsidRPr="49EB5C57">
        <w:rPr>
          <w:rFonts w:asciiTheme="minorHAnsi" w:hAnsiTheme="minorHAnsi" w:cs="Tahoma"/>
        </w:rPr>
        <w:t xml:space="preserve"> the normal arrangements for pre-circulation. </w:t>
      </w:r>
    </w:p>
    <w:p w14:paraId="113D136E" w14:textId="77777777" w:rsidR="00EB7430" w:rsidRPr="00D20BF6" w:rsidRDefault="00EB7430" w:rsidP="001261E4">
      <w:pPr>
        <w:ind w:right="-56"/>
        <w:jc w:val="both"/>
        <w:rPr>
          <w:rFonts w:asciiTheme="minorHAnsi" w:hAnsiTheme="minorHAnsi" w:cs="Tahoma"/>
        </w:rPr>
      </w:pPr>
    </w:p>
    <w:p w14:paraId="113D136F" w14:textId="77777777" w:rsidR="00EB7430" w:rsidRPr="007D06A4" w:rsidRDefault="00EB7430" w:rsidP="007D06A4">
      <w:pPr>
        <w:pStyle w:val="BodyText"/>
        <w:numPr>
          <w:ilvl w:val="0"/>
          <w:numId w:val="36"/>
        </w:numPr>
        <w:pBdr>
          <w:top w:val="single" w:sz="4" w:space="1" w:color="auto"/>
        </w:pBdr>
        <w:jc w:val="both"/>
        <w:rPr>
          <w:rFonts w:asciiTheme="minorHAnsi" w:hAnsiTheme="minorHAnsi" w:cstheme="minorHAnsi"/>
          <w:color w:val="1F497D"/>
        </w:rPr>
      </w:pPr>
      <w:r w:rsidRPr="007D06A4">
        <w:rPr>
          <w:rFonts w:asciiTheme="minorHAnsi" w:hAnsiTheme="minorHAnsi" w:cstheme="minorHAnsi"/>
          <w:color w:val="1F497D"/>
        </w:rPr>
        <w:t>Review of Evidence</w:t>
      </w:r>
    </w:p>
    <w:p w14:paraId="113D1370" w14:textId="3B9DF956" w:rsidR="00EB7430" w:rsidRPr="00D20BF6" w:rsidRDefault="00EB7430" w:rsidP="001261E4">
      <w:pPr>
        <w:ind w:right="-56"/>
        <w:jc w:val="both"/>
        <w:rPr>
          <w:rFonts w:asciiTheme="minorHAnsi" w:hAnsiTheme="minorHAnsi" w:cs="Tahoma"/>
        </w:rPr>
      </w:pPr>
      <w:r w:rsidRPr="00D20BF6">
        <w:rPr>
          <w:rFonts w:asciiTheme="minorHAnsi" w:hAnsiTheme="minorHAnsi" w:cs="Tahoma"/>
        </w:rPr>
        <w:t xml:space="preserve">The Panel </w:t>
      </w:r>
      <w:r w:rsidR="007D06A4">
        <w:rPr>
          <w:rFonts w:asciiTheme="minorHAnsi" w:hAnsiTheme="minorHAnsi" w:cs="Tahoma"/>
        </w:rPr>
        <w:t xml:space="preserve">(section 3) </w:t>
      </w:r>
      <w:r w:rsidRPr="00D20BF6">
        <w:rPr>
          <w:rFonts w:asciiTheme="minorHAnsi" w:hAnsiTheme="minorHAnsi" w:cs="Tahoma"/>
        </w:rPr>
        <w:t>will be chaired by the Board’s Medical Director</w:t>
      </w:r>
      <w:r w:rsidR="00F4794E">
        <w:rPr>
          <w:rFonts w:asciiTheme="minorHAnsi" w:hAnsiTheme="minorHAnsi" w:cs="Tahoma"/>
        </w:rPr>
        <w:t xml:space="preserve"> or Associate Medical Director</w:t>
      </w:r>
      <w:r w:rsidRPr="00D20BF6">
        <w:rPr>
          <w:rFonts w:asciiTheme="minorHAnsi" w:hAnsiTheme="minorHAnsi" w:cs="Tahoma"/>
        </w:rPr>
        <w:t xml:space="preserve">. In addition to the Panel Members and </w:t>
      </w:r>
      <w:r w:rsidR="00135390">
        <w:rPr>
          <w:rFonts w:asciiTheme="minorHAnsi" w:hAnsiTheme="minorHAnsi" w:cs="Tahoma"/>
        </w:rPr>
        <w:t xml:space="preserve">recorder </w:t>
      </w:r>
      <w:r w:rsidR="007A33C9">
        <w:rPr>
          <w:rFonts w:asciiTheme="minorHAnsi" w:hAnsiTheme="minorHAnsi" w:cs="Tahoma"/>
        </w:rPr>
        <w:t xml:space="preserve">(as above) </w:t>
      </w:r>
      <w:r w:rsidRPr="00D20BF6">
        <w:rPr>
          <w:rFonts w:asciiTheme="minorHAnsi" w:hAnsiTheme="minorHAnsi" w:cs="Tahoma"/>
        </w:rPr>
        <w:t>the evidence will be heard by:</w:t>
      </w:r>
    </w:p>
    <w:p w14:paraId="113D1371" w14:textId="77777777" w:rsidR="00EB7430" w:rsidRPr="00D20BF6" w:rsidRDefault="00EB7430" w:rsidP="001261E4">
      <w:pPr>
        <w:numPr>
          <w:ilvl w:val="0"/>
          <w:numId w:val="32"/>
        </w:numPr>
        <w:ind w:right="-56"/>
        <w:jc w:val="both"/>
        <w:rPr>
          <w:rFonts w:asciiTheme="minorHAnsi" w:hAnsiTheme="minorHAnsi" w:cs="Tahoma"/>
        </w:rPr>
      </w:pPr>
      <w:r w:rsidRPr="00D20BF6">
        <w:rPr>
          <w:rFonts w:asciiTheme="minorHAnsi" w:hAnsiTheme="minorHAnsi" w:cs="Tahoma"/>
        </w:rPr>
        <w:t>the appellant(s)</w:t>
      </w:r>
    </w:p>
    <w:p w14:paraId="113D1372" w14:textId="77777777" w:rsidR="00EB7430" w:rsidRPr="00D20BF6" w:rsidRDefault="00EB7430" w:rsidP="001261E4">
      <w:pPr>
        <w:numPr>
          <w:ilvl w:val="0"/>
          <w:numId w:val="32"/>
        </w:numPr>
        <w:ind w:right="-56"/>
        <w:jc w:val="both"/>
        <w:rPr>
          <w:rFonts w:asciiTheme="minorHAnsi" w:hAnsiTheme="minorHAnsi" w:cs="Tahoma"/>
        </w:rPr>
      </w:pPr>
      <w:r w:rsidRPr="00D20BF6">
        <w:rPr>
          <w:rFonts w:asciiTheme="minorHAnsi" w:hAnsiTheme="minorHAnsi" w:cs="Tahoma"/>
        </w:rPr>
        <w:t>the Chief of Medicine (</w:t>
      </w:r>
      <w:proofErr w:type="spellStart"/>
      <w:r w:rsidRPr="00D20BF6">
        <w:rPr>
          <w:rFonts w:asciiTheme="minorHAnsi" w:hAnsiTheme="minorHAnsi" w:cs="Tahoma"/>
        </w:rPr>
        <w:t>CoM</w:t>
      </w:r>
      <w:proofErr w:type="spellEnd"/>
      <w:r w:rsidRPr="00D20BF6">
        <w:rPr>
          <w:rFonts w:asciiTheme="minorHAnsi" w:hAnsiTheme="minorHAnsi" w:cs="Tahoma"/>
        </w:rPr>
        <w:t>) or nominee of the Directorate</w:t>
      </w:r>
    </w:p>
    <w:p w14:paraId="113D1373" w14:textId="77777777" w:rsidR="00EB7430" w:rsidRPr="00D20BF6" w:rsidRDefault="00EB7430" w:rsidP="001261E4">
      <w:pPr>
        <w:numPr>
          <w:ilvl w:val="0"/>
          <w:numId w:val="32"/>
        </w:numPr>
        <w:ind w:right="-56"/>
        <w:jc w:val="both"/>
        <w:rPr>
          <w:rFonts w:asciiTheme="minorHAnsi" w:hAnsiTheme="minorHAnsi" w:cs="Tahoma"/>
        </w:rPr>
      </w:pPr>
      <w:r w:rsidRPr="00D20BF6">
        <w:rPr>
          <w:rFonts w:asciiTheme="minorHAnsi" w:hAnsiTheme="minorHAnsi" w:cs="Tahoma"/>
        </w:rPr>
        <w:t>the Clinical Director (CD) of the therapeutic speciality</w:t>
      </w:r>
    </w:p>
    <w:p w14:paraId="113D1374" w14:textId="77777777" w:rsidR="00EB7430" w:rsidRDefault="00EB7430" w:rsidP="001261E4">
      <w:pPr>
        <w:numPr>
          <w:ilvl w:val="0"/>
          <w:numId w:val="32"/>
        </w:numPr>
        <w:ind w:right="-56"/>
        <w:jc w:val="both"/>
        <w:rPr>
          <w:rFonts w:asciiTheme="minorHAnsi" w:hAnsiTheme="minorHAnsi" w:cs="Tahoma"/>
        </w:rPr>
      </w:pPr>
      <w:r w:rsidRPr="00D20BF6">
        <w:rPr>
          <w:rFonts w:asciiTheme="minorHAnsi" w:hAnsiTheme="minorHAnsi" w:cs="Tahoma"/>
        </w:rPr>
        <w:t>a Specialist Adviser(s), at the discretion of the Chair</w:t>
      </w:r>
    </w:p>
    <w:p w14:paraId="12C41A2C" w14:textId="2635D9F6" w:rsidR="00296D5E" w:rsidRPr="00D20BF6" w:rsidRDefault="00296D5E" w:rsidP="001261E4">
      <w:pPr>
        <w:numPr>
          <w:ilvl w:val="0"/>
          <w:numId w:val="32"/>
        </w:numPr>
        <w:ind w:right="-56"/>
        <w:jc w:val="both"/>
        <w:rPr>
          <w:rFonts w:asciiTheme="minorHAnsi" w:hAnsiTheme="minorHAnsi" w:cs="Tahoma"/>
        </w:rPr>
      </w:pPr>
      <w:r>
        <w:rPr>
          <w:rFonts w:asciiTheme="minorHAnsi" w:hAnsiTheme="minorHAnsi" w:cs="Tahoma"/>
        </w:rPr>
        <w:t xml:space="preserve">a </w:t>
      </w:r>
      <w:r w:rsidR="00D44461">
        <w:rPr>
          <w:rFonts w:asciiTheme="minorHAnsi" w:hAnsiTheme="minorHAnsi" w:cs="Tahoma"/>
        </w:rPr>
        <w:t>h</w:t>
      </w:r>
      <w:r>
        <w:rPr>
          <w:rFonts w:asciiTheme="minorHAnsi" w:hAnsiTheme="minorHAnsi" w:cs="Tahoma"/>
        </w:rPr>
        <w:t>ome Board representative, if applicable</w:t>
      </w:r>
    </w:p>
    <w:p w14:paraId="113D1375" w14:textId="77777777" w:rsidR="00922ECD" w:rsidRPr="00D20BF6" w:rsidRDefault="00922ECD" w:rsidP="001261E4">
      <w:pPr>
        <w:ind w:right="-56"/>
        <w:jc w:val="both"/>
        <w:rPr>
          <w:rFonts w:asciiTheme="minorHAnsi" w:hAnsiTheme="minorHAnsi" w:cs="Tahoma"/>
        </w:rPr>
      </w:pPr>
    </w:p>
    <w:p w14:paraId="113D1376" w14:textId="77777777" w:rsidR="00EB7430" w:rsidRPr="00D20BF6" w:rsidRDefault="00EB7430" w:rsidP="001261E4">
      <w:pPr>
        <w:ind w:right="-56"/>
        <w:jc w:val="both"/>
        <w:rPr>
          <w:rFonts w:asciiTheme="minorHAnsi" w:hAnsiTheme="minorHAnsi" w:cs="Tahoma"/>
        </w:rPr>
      </w:pPr>
      <w:r w:rsidRPr="00D20BF6">
        <w:rPr>
          <w:rFonts w:asciiTheme="minorHAnsi" w:hAnsiTheme="minorHAnsi" w:cs="Tahoma"/>
        </w:rPr>
        <w:t>Completion of ‘declaration of interests’ will be confirmed for all participants at the outset.</w:t>
      </w:r>
    </w:p>
    <w:p w14:paraId="113D1377" w14:textId="77777777" w:rsidR="00EB7430" w:rsidRPr="00D20BF6" w:rsidRDefault="00EB7430" w:rsidP="001261E4">
      <w:pPr>
        <w:ind w:right="-56"/>
        <w:jc w:val="both"/>
        <w:rPr>
          <w:rFonts w:asciiTheme="minorHAnsi" w:hAnsiTheme="minorHAnsi" w:cs="Tahoma"/>
        </w:rPr>
      </w:pPr>
    </w:p>
    <w:p w14:paraId="113D1378" w14:textId="77777777" w:rsidR="00EB7430" w:rsidRPr="00D20BF6" w:rsidRDefault="00EB7430" w:rsidP="001261E4">
      <w:pPr>
        <w:ind w:right="-56"/>
        <w:jc w:val="both"/>
        <w:rPr>
          <w:rFonts w:asciiTheme="minorHAnsi" w:hAnsiTheme="minorHAnsi" w:cs="Tahoma"/>
        </w:rPr>
      </w:pPr>
      <w:r w:rsidRPr="00D20BF6">
        <w:rPr>
          <w:rFonts w:asciiTheme="minorHAnsi" w:hAnsiTheme="minorHAnsi" w:cs="Tahoma"/>
        </w:rPr>
        <w:t>Firstly, the case in favour of the appeal will be presented by the appellant(s). This information will then be open to questions from all participants. Secondly, the basis for rejection of the initial IPTR will be presented by the Chief of Medicine and will be open to questions from all participants. Thirdly any other competent business will be reviewed.</w:t>
      </w:r>
    </w:p>
    <w:p w14:paraId="113D1379" w14:textId="77777777" w:rsidR="00EB7430" w:rsidRPr="00D20BF6" w:rsidRDefault="00EB7430" w:rsidP="001261E4">
      <w:pPr>
        <w:ind w:right="-56"/>
        <w:jc w:val="both"/>
        <w:rPr>
          <w:rFonts w:asciiTheme="minorHAnsi" w:hAnsiTheme="minorHAnsi" w:cs="Tahoma"/>
        </w:rPr>
      </w:pPr>
    </w:p>
    <w:p w14:paraId="113D137A" w14:textId="77777777" w:rsidR="00EB7430" w:rsidRPr="00D20BF6" w:rsidRDefault="00EB7430" w:rsidP="001261E4">
      <w:pPr>
        <w:ind w:right="-56"/>
        <w:jc w:val="both"/>
        <w:rPr>
          <w:rFonts w:asciiTheme="minorHAnsi" w:hAnsiTheme="minorHAnsi" w:cs="Tahoma"/>
        </w:rPr>
      </w:pPr>
      <w:r w:rsidRPr="00D20BF6">
        <w:rPr>
          <w:rFonts w:asciiTheme="minorHAnsi" w:hAnsiTheme="minorHAnsi" w:cs="Tahoma"/>
        </w:rPr>
        <w:t>At the conclusion of the proceedings, the Chair will confirm that all the participants had a fair hearing.</w:t>
      </w:r>
    </w:p>
    <w:p w14:paraId="113D137B" w14:textId="77777777" w:rsidR="00EB7430" w:rsidRPr="00D20BF6" w:rsidRDefault="00EB7430" w:rsidP="001261E4">
      <w:pPr>
        <w:ind w:right="-56"/>
        <w:jc w:val="both"/>
        <w:rPr>
          <w:rFonts w:asciiTheme="minorHAnsi" w:hAnsiTheme="minorHAnsi" w:cs="Tahoma"/>
        </w:rPr>
      </w:pPr>
    </w:p>
    <w:p w14:paraId="113D137C" w14:textId="77777777" w:rsidR="00EB7430" w:rsidRPr="007D06A4" w:rsidRDefault="00EB7430" w:rsidP="007D06A4">
      <w:pPr>
        <w:pStyle w:val="BodyText"/>
        <w:numPr>
          <w:ilvl w:val="0"/>
          <w:numId w:val="36"/>
        </w:numPr>
        <w:pBdr>
          <w:top w:val="single" w:sz="4" w:space="1" w:color="auto"/>
        </w:pBdr>
        <w:jc w:val="both"/>
        <w:rPr>
          <w:rFonts w:asciiTheme="minorHAnsi" w:hAnsiTheme="minorHAnsi" w:cstheme="minorHAnsi"/>
          <w:color w:val="1F497D"/>
        </w:rPr>
      </w:pPr>
      <w:r w:rsidRPr="007D06A4">
        <w:rPr>
          <w:rFonts w:asciiTheme="minorHAnsi" w:hAnsiTheme="minorHAnsi" w:cstheme="minorHAnsi"/>
          <w:color w:val="1F497D"/>
        </w:rPr>
        <w:t xml:space="preserve">Panel </w:t>
      </w:r>
      <w:r w:rsidR="007D06A4">
        <w:rPr>
          <w:rFonts w:asciiTheme="minorHAnsi" w:hAnsiTheme="minorHAnsi" w:cstheme="minorHAnsi"/>
          <w:color w:val="1F497D"/>
        </w:rPr>
        <w:t>d</w:t>
      </w:r>
      <w:r w:rsidRPr="007D06A4">
        <w:rPr>
          <w:rFonts w:asciiTheme="minorHAnsi" w:hAnsiTheme="minorHAnsi" w:cstheme="minorHAnsi"/>
          <w:color w:val="1F497D"/>
        </w:rPr>
        <w:t>ecision</w:t>
      </w:r>
    </w:p>
    <w:p w14:paraId="113D137D" w14:textId="58DCAC11" w:rsidR="00EB7430" w:rsidRPr="00D20BF6" w:rsidRDefault="00EB7430" w:rsidP="001261E4">
      <w:pPr>
        <w:ind w:right="-56"/>
        <w:jc w:val="both"/>
        <w:rPr>
          <w:rFonts w:asciiTheme="minorHAnsi" w:hAnsiTheme="minorHAnsi" w:cs="Tahoma"/>
        </w:rPr>
      </w:pPr>
      <w:r w:rsidRPr="00D20BF6">
        <w:rPr>
          <w:rFonts w:asciiTheme="minorHAnsi" w:hAnsiTheme="minorHAnsi" w:cs="Tahoma"/>
        </w:rPr>
        <w:t>In private session, the Panel including (where relevant) the</w:t>
      </w:r>
      <w:r w:rsidR="00DE1AD1">
        <w:rPr>
          <w:rFonts w:asciiTheme="minorHAnsi" w:hAnsiTheme="minorHAnsi" w:cs="Tahoma"/>
        </w:rPr>
        <w:t xml:space="preserve"> </w:t>
      </w:r>
      <w:r w:rsidRPr="00D20BF6">
        <w:rPr>
          <w:rFonts w:asciiTheme="minorHAnsi" w:hAnsiTheme="minorHAnsi" w:cs="Tahoma"/>
        </w:rPr>
        <w:t xml:space="preserve">Expert Adviser, will consider whether the IPTR process has been correctly applied by the original IPTR panel and whether the original decision can be justified </w:t>
      </w:r>
      <w:proofErr w:type="gramStart"/>
      <w:r w:rsidRPr="00D20BF6">
        <w:rPr>
          <w:rFonts w:asciiTheme="minorHAnsi" w:hAnsiTheme="minorHAnsi" w:cs="Tahoma"/>
        </w:rPr>
        <w:t>in light of</w:t>
      </w:r>
      <w:proofErr w:type="gramEnd"/>
      <w:r w:rsidRPr="00D20BF6">
        <w:rPr>
          <w:rFonts w:asciiTheme="minorHAnsi" w:hAnsiTheme="minorHAnsi" w:cs="Tahoma"/>
        </w:rPr>
        <w:t xml:space="preserve"> the evidence submitted, taking into consideration the submitted evidence from both sides. The Home Board Representative will also be in attendance, as will the</w:t>
      </w:r>
      <w:r w:rsidR="000C4262">
        <w:rPr>
          <w:rFonts w:asciiTheme="minorHAnsi" w:hAnsiTheme="minorHAnsi" w:cs="Tahoma"/>
          <w:color w:val="FF0000"/>
        </w:rPr>
        <w:t xml:space="preserve"> </w:t>
      </w:r>
      <w:r w:rsidR="000C4262" w:rsidRPr="004A0199">
        <w:rPr>
          <w:rFonts w:asciiTheme="minorHAnsi" w:hAnsiTheme="minorHAnsi" w:cs="Tahoma"/>
        </w:rPr>
        <w:t>recorder</w:t>
      </w:r>
      <w:r w:rsidRPr="001A5C95">
        <w:rPr>
          <w:rFonts w:asciiTheme="minorHAnsi" w:hAnsiTheme="minorHAnsi" w:cs="Tahoma"/>
        </w:rPr>
        <w:t>.</w:t>
      </w:r>
      <w:r w:rsidRPr="00D20BF6">
        <w:rPr>
          <w:rFonts w:asciiTheme="minorHAnsi" w:hAnsiTheme="minorHAnsi" w:cs="Tahoma"/>
        </w:rPr>
        <w:t xml:space="preserve"> When this discussion is complete, the Expert Adviser(s) will retire to leave the Panel to reach its verdict.</w:t>
      </w:r>
    </w:p>
    <w:p w14:paraId="113D137E" w14:textId="77777777" w:rsidR="00EB7430" w:rsidRPr="00D20BF6" w:rsidRDefault="00EB7430" w:rsidP="00874F91">
      <w:pPr>
        <w:tabs>
          <w:tab w:val="left" w:pos="3441"/>
        </w:tabs>
        <w:ind w:right="-56"/>
        <w:rPr>
          <w:rFonts w:asciiTheme="minorHAnsi" w:hAnsiTheme="minorHAnsi" w:cs="Tahoma"/>
        </w:rPr>
      </w:pPr>
    </w:p>
    <w:p w14:paraId="113D137F" w14:textId="6895C50A" w:rsidR="00EB7430" w:rsidRPr="00D20BF6" w:rsidRDefault="00EB7430" w:rsidP="00874F91">
      <w:pPr>
        <w:tabs>
          <w:tab w:val="left" w:pos="3441"/>
        </w:tabs>
        <w:ind w:right="-56"/>
        <w:rPr>
          <w:rFonts w:asciiTheme="minorHAnsi" w:hAnsiTheme="minorHAnsi" w:cs="Tahoma"/>
        </w:rPr>
      </w:pPr>
      <w:r w:rsidRPr="00D20BF6">
        <w:rPr>
          <w:rFonts w:asciiTheme="minorHAnsi" w:hAnsiTheme="minorHAnsi" w:cs="Tahoma"/>
        </w:rPr>
        <w:t xml:space="preserve">The onus of responsibility rests with the appellant to demonstrate that the following criteria are satisfied in line with </w:t>
      </w:r>
      <w:hyperlink r:id="rId12" w:history="1">
        <w:r w:rsidRPr="00107323">
          <w:rPr>
            <w:rStyle w:val="Hyperlink"/>
            <w:rFonts w:asciiTheme="minorHAnsi" w:hAnsiTheme="minorHAnsi" w:cs="Tahoma"/>
          </w:rPr>
          <w:t>CMO(2011)3</w:t>
        </w:r>
      </w:hyperlink>
      <w:r w:rsidRPr="00D20BF6">
        <w:rPr>
          <w:rFonts w:asciiTheme="minorHAnsi" w:hAnsiTheme="minorHAnsi" w:cs="Tahoma"/>
        </w:rPr>
        <w:t>:</w:t>
      </w:r>
    </w:p>
    <w:p w14:paraId="113D1380" w14:textId="77777777" w:rsidR="00EB7430" w:rsidRPr="00D20BF6" w:rsidRDefault="00EB7430" w:rsidP="00874F91">
      <w:pPr>
        <w:numPr>
          <w:ilvl w:val="0"/>
          <w:numId w:val="25"/>
        </w:numPr>
        <w:jc w:val="both"/>
        <w:rPr>
          <w:rFonts w:asciiTheme="minorHAnsi" w:hAnsiTheme="minorHAnsi" w:cs="Tahoma"/>
        </w:rPr>
      </w:pPr>
      <w:r w:rsidRPr="00D20BF6">
        <w:rPr>
          <w:rFonts w:asciiTheme="minorHAnsi" w:hAnsiTheme="minorHAnsi" w:cs="Tahoma"/>
        </w:rPr>
        <w:t>That the patient’s clinical circumstances (condition and characteristics) are significantly different from either:</w:t>
      </w:r>
    </w:p>
    <w:p w14:paraId="113D1381" w14:textId="77777777" w:rsidR="00EB7430" w:rsidRPr="00D20BF6" w:rsidRDefault="00EB7430" w:rsidP="00874F91">
      <w:pPr>
        <w:numPr>
          <w:ilvl w:val="1"/>
          <w:numId w:val="25"/>
        </w:numPr>
        <w:tabs>
          <w:tab w:val="clear" w:pos="1440"/>
          <w:tab w:val="num" w:pos="900"/>
        </w:tabs>
        <w:ind w:left="900"/>
        <w:jc w:val="both"/>
        <w:rPr>
          <w:rFonts w:asciiTheme="minorHAnsi" w:hAnsiTheme="minorHAnsi" w:cs="Tahoma"/>
        </w:rPr>
      </w:pPr>
      <w:r w:rsidRPr="00D20BF6">
        <w:rPr>
          <w:rFonts w:asciiTheme="minorHAnsi" w:hAnsiTheme="minorHAnsi" w:cs="Tahoma"/>
        </w:rPr>
        <w:t>The general population of patients covered by the medicine’s licence (for medicines awaiting evaluation or non-submissions to SMC); or</w:t>
      </w:r>
    </w:p>
    <w:p w14:paraId="113D1382" w14:textId="77777777" w:rsidR="00EB7430" w:rsidRPr="00D20BF6" w:rsidRDefault="00EB7430" w:rsidP="00874F91">
      <w:pPr>
        <w:numPr>
          <w:ilvl w:val="1"/>
          <w:numId w:val="25"/>
        </w:numPr>
        <w:tabs>
          <w:tab w:val="clear" w:pos="1440"/>
          <w:tab w:val="num" w:pos="900"/>
        </w:tabs>
        <w:ind w:left="900"/>
        <w:jc w:val="both"/>
        <w:rPr>
          <w:rFonts w:asciiTheme="minorHAnsi" w:hAnsiTheme="minorHAnsi" w:cs="Tahoma"/>
        </w:rPr>
      </w:pPr>
      <w:r w:rsidRPr="00D20BF6">
        <w:rPr>
          <w:rFonts w:asciiTheme="minorHAnsi" w:hAnsiTheme="minorHAnsi" w:cs="Tahoma"/>
        </w:rPr>
        <w:t>The population of patients included in the clinical trials for the medicine’s licensed indication as appraised by the SMC</w:t>
      </w:r>
    </w:p>
    <w:p w14:paraId="113D1383" w14:textId="77777777" w:rsidR="00EB7430" w:rsidRPr="00D20BF6" w:rsidRDefault="00EB7430" w:rsidP="00874F91">
      <w:pPr>
        <w:jc w:val="both"/>
        <w:rPr>
          <w:rFonts w:asciiTheme="minorHAnsi" w:hAnsiTheme="minorHAnsi" w:cs="Tahoma"/>
        </w:rPr>
      </w:pPr>
      <w:r w:rsidRPr="00D20BF6">
        <w:rPr>
          <w:rFonts w:asciiTheme="minorHAnsi" w:hAnsiTheme="minorHAnsi" w:cs="Tahoma"/>
        </w:rPr>
        <w:lastRenderedPageBreak/>
        <w:t>AND</w:t>
      </w:r>
    </w:p>
    <w:p w14:paraId="113D1384" w14:textId="77777777" w:rsidR="00EB7430" w:rsidRPr="00D20BF6" w:rsidRDefault="00EB7430" w:rsidP="00874F91">
      <w:pPr>
        <w:numPr>
          <w:ilvl w:val="0"/>
          <w:numId w:val="25"/>
        </w:numPr>
        <w:jc w:val="both"/>
        <w:rPr>
          <w:rFonts w:asciiTheme="minorHAnsi" w:hAnsiTheme="minorHAnsi" w:cs="Tahoma"/>
        </w:rPr>
      </w:pPr>
      <w:r w:rsidRPr="00D20BF6">
        <w:rPr>
          <w:rFonts w:asciiTheme="minorHAnsi" w:hAnsiTheme="minorHAnsi" w:cs="Tahoma"/>
        </w:rPr>
        <w:t>That these circumstances imply that the patient is likely to gain significantly more benefit from the medicine than would normally be expected.</w:t>
      </w:r>
    </w:p>
    <w:p w14:paraId="113D1385" w14:textId="77777777" w:rsidR="00EB7430" w:rsidRPr="00D20BF6" w:rsidRDefault="00EB7430" w:rsidP="001261E4">
      <w:pPr>
        <w:ind w:right="-56"/>
        <w:jc w:val="both"/>
        <w:rPr>
          <w:rFonts w:asciiTheme="minorHAnsi" w:hAnsiTheme="minorHAnsi" w:cs="Tahoma"/>
        </w:rPr>
      </w:pPr>
    </w:p>
    <w:p w14:paraId="113D1386" w14:textId="77777777" w:rsidR="00EB7430" w:rsidRPr="00D20BF6" w:rsidRDefault="00EB7430" w:rsidP="001261E4">
      <w:pPr>
        <w:ind w:right="-56"/>
        <w:jc w:val="both"/>
        <w:rPr>
          <w:rFonts w:asciiTheme="minorHAnsi" w:hAnsiTheme="minorHAnsi" w:cs="Tahoma"/>
        </w:rPr>
      </w:pPr>
      <w:r w:rsidRPr="00D20BF6">
        <w:rPr>
          <w:rFonts w:asciiTheme="minorHAnsi" w:hAnsiTheme="minorHAnsi" w:cs="Tahoma"/>
        </w:rPr>
        <w:t xml:space="preserve">The Panel will make their decision, typically on the same day of the appeal.  Each panel member is entitled to vote for or against the appeal (or to abstain).  Should the vote be evenly split, then the Panel Chair has the right to a casting vote. </w:t>
      </w:r>
    </w:p>
    <w:p w14:paraId="113D1387" w14:textId="77777777" w:rsidR="00EB7430" w:rsidRPr="00D20BF6" w:rsidRDefault="00EB7430" w:rsidP="001261E4">
      <w:pPr>
        <w:ind w:right="-56"/>
        <w:jc w:val="both"/>
        <w:rPr>
          <w:rFonts w:asciiTheme="minorHAnsi" w:hAnsiTheme="minorHAnsi" w:cs="Tahoma"/>
        </w:rPr>
      </w:pPr>
    </w:p>
    <w:p w14:paraId="113D1388" w14:textId="77777777" w:rsidR="00EB7430" w:rsidRPr="00D20BF6" w:rsidRDefault="00EB7430" w:rsidP="001261E4">
      <w:pPr>
        <w:jc w:val="both"/>
        <w:rPr>
          <w:rFonts w:asciiTheme="minorHAnsi" w:hAnsiTheme="minorHAnsi" w:cs="Tahoma"/>
        </w:rPr>
      </w:pPr>
      <w:r w:rsidRPr="00D20BF6">
        <w:rPr>
          <w:rFonts w:asciiTheme="minorHAnsi" w:hAnsiTheme="minorHAnsi" w:cs="Tahoma"/>
        </w:rPr>
        <w:t>The Panel’s decision will be final and will lead to one of the following outcomes:</w:t>
      </w:r>
    </w:p>
    <w:p w14:paraId="113D1389" w14:textId="77777777" w:rsidR="00EB7430" w:rsidRPr="00D20BF6" w:rsidRDefault="00EB7430" w:rsidP="001261E4">
      <w:pPr>
        <w:jc w:val="both"/>
        <w:rPr>
          <w:rFonts w:asciiTheme="minorHAnsi" w:hAnsiTheme="minorHAnsi" w:cs="Tahoma"/>
        </w:rPr>
      </w:pPr>
    </w:p>
    <w:p w14:paraId="113D138A" w14:textId="77777777" w:rsidR="00EB7430" w:rsidRPr="00D20BF6" w:rsidRDefault="00EB7430" w:rsidP="00874F91">
      <w:pPr>
        <w:numPr>
          <w:ilvl w:val="0"/>
          <w:numId w:val="18"/>
        </w:numPr>
        <w:jc w:val="both"/>
        <w:rPr>
          <w:rFonts w:asciiTheme="minorHAnsi" w:hAnsiTheme="minorHAnsi" w:cs="Tahoma"/>
        </w:rPr>
      </w:pPr>
      <w:r w:rsidRPr="00D20BF6">
        <w:rPr>
          <w:rFonts w:asciiTheme="minorHAnsi" w:hAnsiTheme="minorHAnsi" w:cs="Tahoma"/>
        </w:rPr>
        <w:t xml:space="preserve">If the appeal is upheld </w:t>
      </w:r>
      <w:proofErr w:type="gramStart"/>
      <w:r w:rsidRPr="00D20BF6">
        <w:rPr>
          <w:rFonts w:asciiTheme="minorHAnsi" w:hAnsiTheme="minorHAnsi" w:cs="Tahoma"/>
        </w:rPr>
        <w:t>on the basis of</w:t>
      </w:r>
      <w:proofErr w:type="gramEnd"/>
      <w:r w:rsidRPr="00D20BF6">
        <w:rPr>
          <w:rFonts w:asciiTheme="minorHAnsi" w:hAnsiTheme="minorHAnsi" w:cs="Tahoma"/>
        </w:rPr>
        <w:t xml:space="preserve"> a flaw in the original IPTR process, then the Appeal Panel can proceed to reconsider the evidence </w:t>
      </w:r>
    </w:p>
    <w:p w14:paraId="113D138B" w14:textId="77777777" w:rsidR="00EB7430" w:rsidRPr="00D20BF6" w:rsidRDefault="00EB7430" w:rsidP="001261E4">
      <w:pPr>
        <w:numPr>
          <w:ilvl w:val="0"/>
          <w:numId w:val="18"/>
        </w:numPr>
        <w:jc w:val="both"/>
        <w:rPr>
          <w:rFonts w:asciiTheme="minorHAnsi" w:hAnsiTheme="minorHAnsi" w:cs="Tahoma"/>
        </w:rPr>
      </w:pPr>
      <w:r w:rsidRPr="00D20BF6">
        <w:rPr>
          <w:rFonts w:asciiTheme="minorHAnsi" w:hAnsiTheme="minorHAnsi" w:cs="Tahoma"/>
        </w:rPr>
        <w:t xml:space="preserve">If the appeal is upheld </w:t>
      </w:r>
      <w:proofErr w:type="gramStart"/>
      <w:r w:rsidRPr="00D20BF6">
        <w:rPr>
          <w:rFonts w:asciiTheme="minorHAnsi" w:hAnsiTheme="minorHAnsi" w:cs="Tahoma"/>
        </w:rPr>
        <w:t>on the basis of</w:t>
      </w:r>
      <w:proofErr w:type="gramEnd"/>
      <w:r w:rsidRPr="00D20BF6">
        <w:rPr>
          <w:rFonts w:asciiTheme="minorHAnsi" w:hAnsiTheme="minorHAnsi" w:cs="Tahoma"/>
        </w:rPr>
        <w:t xml:space="preserve"> reconsideration of the evidence, the appellant is eligible to prescribe the medicine on the NHS with immediate effect</w:t>
      </w:r>
    </w:p>
    <w:p w14:paraId="113D138C" w14:textId="77777777" w:rsidR="00EB7430" w:rsidRPr="00D20BF6" w:rsidRDefault="00EB7430" w:rsidP="001261E4">
      <w:pPr>
        <w:numPr>
          <w:ilvl w:val="0"/>
          <w:numId w:val="18"/>
        </w:numPr>
        <w:jc w:val="both"/>
        <w:rPr>
          <w:rFonts w:asciiTheme="minorHAnsi" w:hAnsiTheme="minorHAnsi" w:cs="Tahoma"/>
        </w:rPr>
      </w:pPr>
      <w:r w:rsidRPr="00D20BF6">
        <w:rPr>
          <w:rFonts w:asciiTheme="minorHAnsi" w:hAnsiTheme="minorHAnsi" w:cs="Tahoma"/>
        </w:rPr>
        <w:t>If the appeal is declined, the position of the Directorate, in response to the original IPTR application, will stand; the medicine cannot be prescribed on the NHS</w:t>
      </w:r>
    </w:p>
    <w:p w14:paraId="113D138D" w14:textId="77777777" w:rsidR="00EB7430" w:rsidRPr="00D20BF6" w:rsidRDefault="00EB7430" w:rsidP="001261E4">
      <w:pPr>
        <w:ind w:right="-56"/>
        <w:jc w:val="both"/>
        <w:rPr>
          <w:rFonts w:asciiTheme="minorHAnsi" w:hAnsiTheme="minorHAnsi" w:cs="Tahoma"/>
        </w:rPr>
      </w:pPr>
    </w:p>
    <w:p w14:paraId="113D138E" w14:textId="77777777" w:rsidR="00EB7430" w:rsidRPr="007D06A4" w:rsidRDefault="00EB7430" w:rsidP="007D06A4">
      <w:pPr>
        <w:pStyle w:val="BodyText"/>
        <w:numPr>
          <w:ilvl w:val="0"/>
          <w:numId w:val="36"/>
        </w:numPr>
        <w:pBdr>
          <w:top w:val="single" w:sz="4" w:space="1" w:color="auto"/>
        </w:pBdr>
        <w:jc w:val="both"/>
        <w:rPr>
          <w:rFonts w:asciiTheme="minorHAnsi" w:hAnsiTheme="minorHAnsi" w:cstheme="minorHAnsi"/>
          <w:color w:val="1F497D"/>
        </w:rPr>
      </w:pPr>
      <w:r w:rsidRPr="007D06A4">
        <w:rPr>
          <w:rFonts w:asciiTheme="minorHAnsi" w:hAnsiTheme="minorHAnsi" w:cstheme="minorHAnsi"/>
          <w:color w:val="1F497D"/>
        </w:rPr>
        <w:t>Communication of decision</w:t>
      </w:r>
    </w:p>
    <w:p w14:paraId="113D138F" w14:textId="0B443A38" w:rsidR="00EB7430" w:rsidRPr="00D20BF6" w:rsidRDefault="00EB7430" w:rsidP="001261E4">
      <w:pPr>
        <w:ind w:right="-56"/>
        <w:jc w:val="both"/>
        <w:rPr>
          <w:rFonts w:asciiTheme="minorHAnsi" w:hAnsiTheme="minorHAnsi" w:cs="Tahoma"/>
        </w:rPr>
      </w:pPr>
      <w:r w:rsidRPr="00D20BF6">
        <w:rPr>
          <w:rFonts w:asciiTheme="minorHAnsi" w:hAnsiTheme="minorHAnsi" w:cs="Tahoma"/>
        </w:rPr>
        <w:t xml:space="preserve">The appellant will then be informed by the Chair and the Secretariat of the decision and the rationale for it. The appellant will be responsible for advising the patient and/or </w:t>
      </w:r>
      <w:r w:rsidR="002F7DFA">
        <w:rPr>
          <w:rFonts w:asciiTheme="minorHAnsi" w:hAnsiTheme="minorHAnsi" w:cs="Tahoma"/>
        </w:rPr>
        <w:t>their</w:t>
      </w:r>
      <w:r w:rsidRPr="00D20BF6">
        <w:rPr>
          <w:rFonts w:asciiTheme="minorHAnsi" w:hAnsiTheme="minorHAnsi" w:cs="Tahoma"/>
        </w:rPr>
        <w:t xml:space="preserve"> representative. On reaching a decision, a written </w:t>
      </w:r>
      <w:r w:rsidR="00BA09C3">
        <w:rPr>
          <w:rFonts w:asciiTheme="minorHAnsi" w:hAnsiTheme="minorHAnsi" w:cs="Tahoma"/>
        </w:rPr>
        <w:t xml:space="preserve">confirmation </w:t>
      </w:r>
      <w:r w:rsidRPr="00D20BF6">
        <w:rPr>
          <w:rFonts w:asciiTheme="minorHAnsi" w:hAnsiTheme="minorHAnsi" w:cs="Tahoma"/>
        </w:rPr>
        <w:t xml:space="preserve">of the outcome should be provided to the requesting clinician, by the Appeal Panel Chair. This will provide </w:t>
      </w:r>
      <w:proofErr w:type="gramStart"/>
      <w:r w:rsidRPr="00D20BF6">
        <w:rPr>
          <w:rFonts w:asciiTheme="minorHAnsi" w:hAnsiTheme="minorHAnsi" w:cs="Tahoma"/>
        </w:rPr>
        <w:t>a brief summary</w:t>
      </w:r>
      <w:proofErr w:type="gramEnd"/>
      <w:r w:rsidRPr="00D20BF6">
        <w:rPr>
          <w:rFonts w:asciiTheme="minorHAnsi" w:hAnsiTheme="minorHAnsi" w:cs="Tahoma"/>
        </w:rPr>
        <w:t xml:space="preserve"> of the rationale for the decision </w:t>
      </w:r>
      <w:r w:rsidR="00F60268">
        <w:rPr>
          <w:rFonts w:asciiTheme="minorHAnsi" w:hAnsiTheme="minorHAnsi" w:cs="Tahoma"/>
        </w:rPr>
        <w:t xml:space="preserve">and </w:t>
      </w:r>
      <w:r w:rsidRPr="00D20BF6">
        <w:rPr>
          <w:rFonts w:asciiTheme="minorHAnsi" w:hAnsiTheme="minorHAnsi" w:cs="Tahoma"/>
        </w:rPr>
        <w:t xml:space="preserve">will set out the options available to the patient. </w:t>
      </w:r>
    </w:p>
    <w:p w14:paraId="113D1390" w14:textId="77777777" w:rsidR="00EB7430" w:rsidRPr="00D20BF6" w:rsidRDefault="00EB7430" w:rsidP="001261E4">
      <w:pPr>
        <w:ind w:right="-56"/>
        <w:jc w:val="both"/>
        <w:rPr>
          <w:rFonts w:asciiTheme="minorHAnsi" w:hAnsiTheme="minorHAnsi" w:cs="Tahoma"/>
        </w:rPr>
      </w:pPr>
    </w:p>
    <w:p w14:paraId="113D1391" w14:textId="77777777" w:rsidR="00EB7430" w:rsidRPr="00D20BF6" w:rsidRDefault="00EB7430" w:rsidP="001261E4">
      <w:pPr>
        <w:ind w:right="-56"/>
        <w:jc w:val="both"/>
        <w:rPr>
          <w:rFonts w:asciiTheme="minorHAnsi" w:hAnsiTheme="minorHAnsi" w:cs="Tahoma"/>
        </w:rPr>
      </w:pPr>
      <w:r w:rsidRPr="00D20BF6">
        <w:rPr>
          <w:rFonts w:asciiTheme="minorHAnsi" w:hAnsiTheme="minorHAnsi" w:cs="Tahoma"/>
        </w:rPr>
        <w:t>The Directorate representatives will be informed immediately afterwards, to include review of any immediate actions required.</w:t>
      </w:r>
    </w:p>
    <w:p w14:paraId="113D1392" w14:textId="77777777" w:rsidR="00EB7430" w:rsidRPr="00D20BF6" w:rsidRDefault="00EB7430" w:rsidP="001261E4">
      <w:pPr>
        <w:ind w:right="-56"/>
        <w:jc w:val="both"/>
        <w:rPr>
          <w:rFonts w:asciiTheme="minorHAnsi" w:hAnsiTheme="minorHAnsi" w:cs="Tahoma"/>
        </w:rPr>
      </w:pPr>
    </w:p>
    <w:p w14:paraId="113D1393" w14:textId="77777777" w:rsidR="00EB7430" w:rsidRPr="00D20BF6" w:rsidRDefault="00EB7430" w:rsidP="001261E4">
      <w:pPr>
        <w:ind w:right="-56"/>
        <w:jc w:val="both"/>
        <w:rPr>
          <w:rFonts w:asciiTheme="minorHAnsi" w:hAnsiTheme="minorHAnsi" w:cs="Tahoma"/>
        </w:rPr>
      </w:pPr>
      <w:r w:rsidRPr="00D20BF6">
        <w:rPr>
          <w:rFonts w:asciiTheme="minorHAnsi" w:hAnsiTheme="minorHAnsi" w:cs="Tahoma"/>
        </w:rPr>
        <w:t>The priorities for communication of the outcome are:</w:t>
      </w:r>
    </w:p>
    <w:p w14:paraId="113D1394" w14:textId="77777777" w:rsidR="00EB7430" w:rsidRPr="00D20BF6" w:rsidRDefault="00EB7430" w:rsidP="001261E4">
      <w:pPr>
        <w:numPr>
          <w:ilvl w:val="0"/>
          <w:numId w:val="33"/>
        </w:numPr>
        <w:ind w:right="-56"/>
        <w:jc w:val="both"/>
        <w:rPr>
          <w:rFonts w:asciiTheme="minorHAnsi" w:hAnsiTheme="minorHAnsi" w:cs="Tahoma"/>
        </w:rPr>
      </w:pPr>
      <w:r w:rsidRPr="00D20BF6">
        <w:rPr>
          <w:rFonts w:asciiTheme="minorHAnsi" w:hAnsiTheme="minorHAnsi" w:cs="Tahoma"/>
        </w:rPr>
        <w:t>Appellant and any associated clinical personnel caring for the patient</w:t>
      </w:r>
    </w:p>
    <w:p w14:paraId="113D1395" w14:textId="77777777" w:rsidR="00EB7430" w:rsidRPr="00D20BF6" w:rsidRDefault="00EB7430" w:rsidP="001261E4">
      <w:pPr>
        <w:numPr>
          <w:ilvl w:val="0"/>
          <w:numId w:val="33"/>
        </w:numPr>
        <w:ind w:right="-56"/>
        <w:jc w:val="both"/>
        <w:rPr>
          <w:rFonts w:asciiTheme="minorHAnsi" w:hAnsiTheme="minorHAnsi" w:cs="Tahoma"/>
        </w:rPr>
      </w:pPr>
      <w:r w:rsidRPr="00D20BF6">
        <w:rPr>
          <w:rFonts w:asciiTheme="minorHAnsi" w:hAnsiTheme="minorHAnsi" w:cs="Tahoma"/>
        </w:rPr>
        <w:t>Patient / carer / patient representative / family members (via the appellant)</w:t>
      </w:r>
    </w:p>
    <w:p w14:paraId="113D1396" w14:textId="77777777" w:rsidR="00EB7430" w:rsidRPr="00D20BF6" w:rsidRDefault="00EB7430" w:rsidP="001261E4">
      <w:pPr>
        <w:numPr>
          <w:ilvl w:val="0"/>
          <w:numId w:val="33"/>
        </w:numPr>
        <w:ind w:right="-56"/>
        <w:jc w:val="both"/>
        <w:rPr>
          <w:rFonts w:asciiTheme="minorHAnsi" w:hAnsiTheme="minorHAnsi" w:cs="Tahoma"/>
        </w:rPr>
      </w:pPr>
      <w:r w:rsidRPr="00D20BF6">
        <w:rPr>
          <w:rFonts w:asciiTheme="minorHAnsi" w:hAnsiTheme="minorHAnsi" w:cs="Tahoma"/>
        </w:rPr>
        <w:t xml:space="preserve">COM / CD / Service Manager / Lead </w:t>
      </w:r>
      <w:r w:rsidR="002E5E21">
        <w:rPr>
          <w:rFonts w:asciiTheme="minorHAnsi" w:hAnsiTheme="minorHAnsi" w:cs="Tahoma"/>
        </w:rPr>
        <w:t>Clinical</w:t>
      </w:r>
      <w:r w:rsidRPr="00D20BF6">
        <w:rPr>
          <w:rFonts w:asciiTheme="minorHAnsi" w:hAnsiTheme="minorHAnsi" w:cs="Tahoma"/>
        </w:rPr>
        <w:t xml:space="preserve"> Pharmacist</w:t>
      </w:r>
    </w:p>
    <w:p w14:paraId="113D1398" w14:textId="51162760" w:rsidR="00EB7430" w:rsidRPr="00D20BF6" w:rsidRDefault="00EB7430" w:rsidP="001261E4">
      <w:pPr>
        <w:numPr>
          <w:ilvl w:val="0"/>
          <w:numId w:val="33"/>
        </w:numPr>
        <w:ind w:right="-56"/>
        <w:jc w:val="both"/>
        <w:rPr>
          <w:rFonts w:asciiTheme="minorHAnsi" w:hAnsiTheme="minorHAnsi" w:cs="Tahoma"/>
        </w:rPr>
      </w:pPr>
      <w:r w:rsidRPr="00D20BF6">
        <w:rPr>
          <w:rFonts w:asciiTheme="minorHAnsi" w:hAnsiTheme="minorHAnsi" w:cs="Tahoma"/>
        </w:rPr>
        <w:t xml:space="preserve">Medicines </w:t>
      </w:r>
      <w:r w:rsidR="002E5E21">
        <w:rPr>
          <w:rFonts w:asciiTheme="minorHAnsi" w:hAnsiTheme="minorHAnsi" w:cs="Tahoma"/>
        </w:rPr>
        <w:t>Policy and Guidance</w:t>
      </w:r>
      <w:r w:rsidR="00CD44FD">
        <w:rPr>
          <w:rFonts w:asciiTheme="minorHAnsi" w:hAnsiTheme="minorHAnsi" w:cs="Tahoma"/>
        </w:rPr>
        <w:t xml:space="preserve"> Team via IPTR inbox</w:t>
      </w:r>
      <w:r w:rsidR="00717E11">
        <w:rPr>
          <w:rFonts w:asciiTheme="minorHAnsi" w:hAnsiTheme="minorHAnsi" w:cs="Tahoma"/>
        </w:rPr>
        <w:t xml:space="preserve"> </w:t>
      </w:r>
      <w:r w:rsidRPr="00D20BF6">
        <w:rPr>
          <w:rFonts w:asciiTheme="minorHAnsi" w:hAnsiTheme="minorHAnsi" w:cs="Tahoma"/>
        </w:rPr>
        <w:t>Board Chief Executive / Director of Finance</w:t>
      </w:r>
    </w:p>
    <w:p w14:paraId="113D1399" w14:textId="77777777" w:rsidR="00EB7430" w:rsidRPr="00D20BF6" w:rsidRDefault="00EB7430" w:rsidP="001261E4">
      <w:pPr>
        <w:numPr>
          <w:ilvl w:val="0"/>
          <w:numId w:val="33"/>
        </w:numPr>
        <w:ind w:right="-56"/>
        <w:jc w:val="both"/>
        <w:rPr>
          <w:rFonts w:asciiTheme="minorHAnsi" w:hAnsiTheme="minorHAnsi" w:cs="Tahoma"/>
        </w:rPr>
      </w:pPr>
      <w:r w:rsidRPr="00D20BF6">
        <w:rPr>
          <w:rFonts w:asciiTheme="minorHAnsi" w:hAnsiTheme="minorHAnsi" w:cs="Tahoma"/>
        </w:rPr>
        <w:t>Scottish Medicines Consortium Chair (or deputy), where relevant</w:t>
      </w:r>
    </w:p>
    <w:p w14:paraId="113D139A" w14:textId="77777777" w:rsidR="00EB7430" w:rsidRPr="00D20BF6" w:rsidRDefault="00EB7430" w:rsidP="001261E4">
      <w:pPr>
        <w:numPr>
          <w:ilvl w:val="0"/>
          <w:numId w:val="33"/>
        </w:numPr>
        <w:ind w:right="-56"/>
        <w:jc w:val="both"/>
        <w:rPr>
          <w:rFonts w:asciiTheme="minorHAnsi" w:hAnsiTheme="minorHAnsi" w:cs="Tahoma"/>
        </w:rPr>
      </w:pPr>
      <w:r w:rsidRPr="00D20BF6">
        <w:rPr>
          <w:rFonts w:asciiTheme="minorHAnsi" w:hAnsiTheme="minorHAnsi" w:cs="Tahoma"/>
        </w:rPr>
        <w:t>Press Office</w:t>
      </w:r>
    </w:p>
    <w:p w14:paraId="113D139B" w14:textId="77777777" w:rsidR="00EB7430" w:rsidRPr="00D20BF6" w:rsidRDefault="00EB7430" w:rsidP="001261E4">
      <w:pPr>
        <w:ind w:right="-56"/>
        <w:jc w:val="both"/>
        <w:rPr>
          <w:rFonts w:asciiTheme="minorHAnsi" w:hAnsiTheme="minorHAnsi" w:cs="Tahoma"/>
        </w:rPr>
      </w:pPr>
    </w:p>
    <w:p w14:paraId="113D139C" w14:textId="77777777" w:rsidR="00EB7430" w:rsidRPr="007D06A4" w:rsidRDefault="00EB7430" w:rsidP="007D06A4">
      <w:pPr>
        <w:pStyle w:val="BodyText"/>
        <w:numPr>
          <w:ilvl w:val="0"/>
          <w:numId w:val="36"/>
        </w:numPr>
        <w:pBdr>
          <w:top w:val="single" w:sz="4" w:space="1" w:color="auto"/>
        </w:pBdr>
        <w:jc w:val="both"/>
        <w:rPr>
          <w:rFonts w:asciiTheme="minorHAnsi" w:hAnsiTheme="minorHAnsi" w:cstheme="minorHAnsi"/>
          <w:color w:val="1F497D"/>
        </w:rPr>
      </w:pPr>
      <w:r w:rsidRPr="007D06A4">
        <w:rPr>
          <w:rFonts w:asciiTheme="minorHAnsi" w:hAnsiTheme="minorHAnsi" w:cstheme="minorHAnsi"/>
          <w:color w:val="1F497D"/>
        </w:rPr>
        <w:t>Completion of report</w:t>
      </w:r>
    </w:p>
    <w:p w14:paraId="113D139D" w14:textId="5E7B3143" w:rsidR="00EB7430" w:rsidRPr="00D20BF6" w:rsidRDefault="00EB7430" w:rsidP="001261E4">
      <w:pPr>
        <w:ind w:right="-56"/>
        <w:jc w:val="both"/>
        <w:rPr>
          <w:rFonts w:asciiTheme="minorHAnsi" w:hAnsiTheme="minorHAnsi" w:cs="Tahoma"/>
        </w:rPr>
      </w:pPr>
      <w:r w:rsidRPr="00D20BF6">
        <w:rPr>
          <w:rFonts w:asciiTheme="minorHAnsi" w:hAnsiTheme="minorHAnsi" w:cs="Tahoma"/>
        </w:rPr>
        <w:t xml:space="preserve">The </w:t>
      </w:r>
      <w:r w:rsidR="008F6653" w:rsidRPr="004A0199">
        <w:rPr>
          <w:rFonts w:asciiTheme="minorHAnsi" w:hAnsiTheme="minorHAnsi" w:cs="Tahoma"/>
        </w:rPr>
        <w:t>re</w:t>
      </w:r>
      <w:r w:rsidR="00A734B6" w:rsidRPr="004A0199">
        <w:rPr>
          <w:rFonts w:asciiTheme="minorHAnsi" w:hAnsiTheme="minorHAnsi" w:cs="Tahoma"/>
        </w:rPr>
        <w:t>corder</w:t>
      </w:r>
      <w:r w:rsidRPr="004A0199">
        <w:rPr>
          <w:rFonts w:asciiTheme="minorHAnsi" w:hAnsiTheme="minorHAnsi" w:cs="Tahoma"/>
        </w:rPr>
        <w:t xml:space="preserve"> </w:t>
      </w:r>
      <w:r w:rsidRPr="001A5C95">
        <w:rPr>
          <w:rFonts w:asciiTheme="minorHAnsi" w:hAnsiTheme="minorHAnsi" w:cs="Tahoma"/>
        </w:rPr>
        <w:t>s</w:t>
      </w:r>
      <w:r w:rsidRPr="00D20BF6">
        <w:rPr>
          <w:rFonts w:asciiTheme="minorHAnsi" w:hAnsiTheme="minorHAnsi" w:cs="Tahoma"/>
        </w:rPr>
        <w:t>hould draft a full report, for the attention of the panel members within 5 working days of the Panel Hearing.  This will record the detail of the proceedings, the evidence presented, the issues highlighted and the rationale for the decision. An Executive Summary will also be prepared as the basis for communication to a wider audience. Both reports will be approved as an accurate record by:</w:t>
      </w:r>
    </w:p>
    <w:p w14:paraId="113D139E" w14:textId="77777777" w:rsidR="00EB7430" w:rsidRPr="00D20BF6" w:rsidRDefault="00EB7430" w:rsidP="001261E4">
      <w:pPr>
        <w:numPr>
          <w:ilvl w:val="0"/>
          <w:numId w:val="34"/>
        </w:numPr>
        <w:ind w:right="-56"/>
        <w:jc w:val="both"/>
        <w:rPr>
          <w:rFonts w:asciiTheme="minorHAnsi" w:hAnsiTheme="minorHAnsi" w:cs="Tahoma"/>
        </w:rPr>
      </w:pPr>
      <w:r w:rsidRPr="00D20BF6">
        <w:rPr>
          <w:rFonts w:asciiTheme="minorHAnsi" w:hAnsiTheme="minorHAnsi" w:cs="Tahoma"/>
        </w:rPr>
        <w:t>the panel members</w:t>
      </w:r>
    </w:p>
    <w:p w14:paraId="113D139F" w14:textId="5A4C053B" w:rsidR="00EB7430" w:rsidRPr="00D20BF6" w:rsidRDefault="00EB7430" w:rsidP="001261E4">
      <w:pPr>
        <w:numPr>
          <w:ilvl w:val="0"/>
          <w:numId w:val="34"/>
        </w:numPr>
        <w:ind w:right="-56"/>
        <w:jc w:val="both"/>
        <w:rPr>
          <w:rFonts w:asciiTheme="minorHAnsi" w:hAnsiTheme="minorHAnsi" w:cs="Tahoma"/>
        </w:rPr>
      </w:pPr>
      <w:r w:rsidRPr="00D20BF6">
        <w:rPr>
          <w:rFonts w:asciiTheme="minorHAnsi" w:hAnsiTheme="minorHAnsi" w:cs="Tahoma"/>
        </w:rPr>
        <w:t xml:space="preserve">the </w:t>
      </w:r>
      <w:r w:rsidR="00A179E8">
        <w:rPr>
          <w:rFonts w:asciiTheme="minorHAnsi" w:hAnsiTheme="minorHAnsi" w:cs="Tahoma"/>
        </w:rPr>
        <w:t>E</w:t>
      </w:r>
      <w:r w:rsidR="00296387">
        <w:rPr>
          <w:rFonts w:asciiTheme="minorHAnsi" w:hAnsiTheme="minorHAnsi" w:cs="Tahoma"/>
        </w:rPr>
        <w:t xml:space="preserve">xpert </w:t>
      </w:r>
      <w:r w:rsidR="00A179E8">
        <w:rPr>
          <w:rFonts w:asciiTheme="minorHAnsi" w:hAnsiTheme="minorHAnsi" w:cs="Tahoma"/>
        </w:rPr>
        <w:t>A</w:t>
      </w:r>
      <w:r w:rsidRPr="00D20BF6">
        <w:rPr>
          <w:rFonts w:asciiTheme="minorHAnsi" w:hAnsiTheme="minorHAnsi" w:cs="Tahoma"/>
        </w:rPr>
        <w:t>dviser(s)</w:t>
      </w:r>
    </w:p>
    <w:p w14:paraId="113D13A0" w14:textId="77777777" w:rsidR="00EB7430" w:rsidRPr="00D20BF6" w:rsidRDefault="00EB7430" w:rsidP="001261E4">
      <w:pPr>
        <w:numPr>
          <w:ilvl w:val="0"/>
          <w:numId w:val="34"/>
        </w:numPr>
        <w:ind w:right="-56"/>
        <w:jc w:val="both"/>
        <w:rPr>
          <w:rFonts w:asciiTheme="minorHAnsi" w:hAnsiTheme="minorHAnsi" w:cs="Tahoma"/>
        </w:rPr>
      </w:pPr>
      <w:r w:rsidRPr="00D20BF6">
        <w:rPr>
          <w:rFonts w:asciiTheme="minorHAnsi" w:hAnsiTheme="minorHAnsi" w:cs="Tahoma"/>
        </w:rPr>
        <w:t>the appellant(s)</w:t>
      </w:r>
    </w:p>
    <w:p w14:paraId="113D13A1" w14:textId="77777777" w:rsidR="00EB7430" w:rsidRPr="00D20BF6" w:rsidRDefault="00EB7430" w:rsidP="001261E4">
      <w:pPr>
        <w:numPr>
          <w:ilvl w:val="0"/>
          <w:numId w:val="34"/>
        </w:numPr>
        <w:ind w:right="-56"/>
        <w:jc w:val="both"/>
        <w:rPr>
          <w:rFonts w:asciiTheme="minorHAnsi" w:hAnsiTheme="minorHAnsi" w:cs="Tahoma"/>
        </w:rPr>
      </w:pPr>
      <w:r w:rsidRPr="00D20BF6">
        <w:rPr>
          <w:rFonts w:asciiTheme="minorHAnsi" w:hAnsiTheme="minorHAnsi" w:cs="Tahoma"/>
        </w:rPr>
        <w:lastRenderedPageBreak/>
        <w:t>the Directorate representatives</w:t>
      </w:r>
    </w:p>
    <w:p w14:paraId="113D13A2" w14:textId="77777777" w:rsidR="00EB7430" w:rsidRPr="00D20BF6" w:rsidRDefault="00EB7430" w:rsidP="001261E4">
      <w:pPr>
        <w:numPr>
          <w:ilvl w:val="0"/>
          <w:numId w:val="34"/>
        </w:numPr>
        <w:ind w:right="-56"/>
        <w:jc w:val="both"/>
        <w:rPr>
          <w:rFonts w:asciiTheme="minorHAnsi" w:hAnsiTheme="minorHAnsi" w:cs="Tahoma"/>
        </w:rPr>
      </w:pPr>
      <w:r w:rsidRPr="00D20BF6">
        <w:rPr>
          <w:rFonts w:asciiTheme="minorHAnsi" w:hAnsiTheme="minorHAnsi" w:cs="Tahoma"/>
        </w:rPr>
        <w:t>the patient representative</w:t>
      </w:r>
    </w:p>
    <w:p w14:paraId="113D13A3" w14:textId="77777777" w:rsidR="00EB7430" w:rsidRPr="00D20BF6" w:rsidRDefault="00EB7430" w:rsidP="001261E4">
      <w:pPr>
        <w:ind w:right="-56"/>
        <w:jc w:val="both"/>
        <w:rPr>
          <w:rFonts w:asciiTheme="minorHAnsi" w:hAnsiTheme="minorHAnsi" w:cs="Tahoma"/>
        </w:rPr>
      </w:pPr>
    </w:p>
    <w:p w14:paraId="113D13A4" w14:textId="4783FD99" w:rsidR="00EB7430" w:rsidRPr="00D20BF6" w:rsidRDefault="00EB7430" w:rsidP="001261E4">
      <w:pPr>
        <w:ind w:right="-56"/>
        <w:jc w:val="both"/>
        <w:rPr>
          <w:rFonts w:asciiTheme="minorHAnsi" w:hAnsiTheme="minorHAnsi" w:cs="Tahoma"/>
        </w:rPr>
      </w:pPr>
      <w:r w:rsidRPr="00D20BF6">
        <w:rPr>
          <w:rFonts w:asciiTheme="minorHAnsi" w:hAnsiTheme="minorHAnsi" w:cs="Tahoma"/>
        </w:rPr>
        <w:t xml:space="preserve">The target timescale for completion of this consultation exercise across all the participants is 20 working days. The patient and/or </w:t>
      </w:r>
      <w:r w:rsidR="00E5410C">
        <w:rPr>
          <w:rFonts w:asciiTheme="minorHAnsi" w:hAnsiTheme="minorHAnsi" w:cs="Tahoma"/>
        </w:rPr>
        <w:t>their</w:t>
      </w:r>
      <w:r w:rsidRPr="00D20BF6">
        <w:rPr>
          <w:rFonts w:asciiTheme="minorHAnsi" w:hAnsiTheme="minorHAnsi" w:cs="Tahoma"/>
        </w:rPr>
        <w:t xml:space="preserve"> representative will also be given an opportunity to comment.   Any further actions will be followed up through the Directorate’s medicines advisory structures.  </w:t>
      </w:r>
    </w:p>
    <w:p w14:paraId="113D13A5" w14:textId="77777777" w:rsidR="00EB7430" w:rsidRPr="00D20BF6" w:rsidRDefault="00EB7430" w:rsidP="001261E4">
      <w:pPr>
        <w:ind w:right="-56"/>
        <w:jc w:val="both"/>
        <w:rPr>
          <w:rFonts w:asciiTheme="minorHAnsi" w:hAnsiTheme="minorHAnsi" w:cs="Tahoma"/>
        </w:rPr>
      </w:pPr>
    </w:p>
    <w:p w14:paraId="113D13A6" w14:textId="77777777" w:rsidR="00EB7430" w:rsidRPr="007D06A4" w:rsidRDefault="002E5E21" w:rsidP="007D06A4">
      <w:pPr>
        <w:pStyle w:val="BodyText"/>
        <w:numPr>
          <w:ilvl w:val="0"/>
          <w:numId w:val="36"/>
        </w:numPr>
        <w:pBdr>
          <w:top w:val="single" w:sz="4" w:space="1" w:color="auto"/>
        </w:pBdr>
        <w:jc w:val="both"/>
        <w:rPr>
          <w:rFonts w:asciiTheme="minorHAnsi" w:hAnsiTheme="minorHAnsi" w:cstheme="minorHAnsi"/>
          <w:color w:val="1F497D"/>
        </w:rPr>
      </w:pPr>
      <w:r>
        <w:rPr>
          <w:rFonts w:asciiTheme="minorHAnsi" w:hAnsiTheme="minorHAnsi" w:cstheme="minorHAnsi"/>
          <w:color w:val="1F497D"/>
        </w:rPr>
        <w:t>Definition of terms</w:t>
      </w:r>
    </w:p>
    <w:p w14:paraId="113D13A7" w14:textId="25A332B6" w:rsidR="00EB7430" w:rsidRPr="00D20BF6" w:rsidRDefault="00EB7430" w:rsidP="001261E4">
      <w:pPr>
        <w:ind w:right="-56"/>
        <w:jc w:val="both"/>
        <w:rPr>
          <w:rFonts w:asciiTheme="minorHAnsi" w:hAnsiTheme="minorHAnsi" w:cs="Tahoma"/>
        </w:rPr>
      </w:pPr>
      <w:r w:rsidRPr="00D20BF6">
        <w:rPr>
          <w:rFonts w:asciiTheme="minorHAnsi" w:hAnsiTheme="minorHAnsi" w:cs="Tahoma"/>
        </w:rPr>
        <w:t>“</w:t>
      </w:r>
      <w:proofErr w:type="gramStart"/>
      <w:r w:rsidR="00886EF3">
        <w:rPr>
          <w:rFonts w:asciiTheme="minorHAnsi" w:hAnsiTheme="minorHAnsi" w:cs="Tahoma"/>
        </w:rPr>
        <w:t>h</w:t>
      </w:r>
      <w:r w:rsidRPr="00D20BF6">
        <w:rPr>
          <w:rFonts w:asciiTheme="minorHAnsi" w:hAnsiTheme="minorHAnsi" w:cs="Tahoma"/>
        </w:rPr>
        <w:t>ome</w:t>
      </w:r>
      <w:proofErr w:type="gramEnd"/>
      <w:r w:rsidRPr="00D20BF6">
        <w:rPr>
          <w:rFonts w:asciiTheme="minorHAnsi" w:hAnsiTheme="minorHAnsi" w:cs="Tahoma"/>
        </w:rPr>
        <w:t xml:space="preserve"> Board”: </w:t>
      </w:r>
    </w:p>
    <w:p w14:paraId="113D13A8" w14:textId="5432B00E" w:rsidR="00EB7430" w:rsidRPr="00D20BF6" w:rsidRDefault="00EB7430" w:rsidP="001261E4">
      <w:pPr>
        <w:ind w:right="-56"/>
        <w:jc w:val="both"/>
        <w:rPr>
          <w:rFonts w:asciiTheme="minorHAnsi" w:hAnsiTheme="minorHAnsi" w:cs="Tahoma"/>
        </w:rPr>
      </w:pPr>
      <w:r w:rsidRPr="00D20BF6">
        <w:rPr>
          <w:rFonts w:asciiTheme="minorHAnsi" w:hAnsiTheme="minorHAnsi" w:cs="Tahoma"/>
        </w:rPr>
        <w:t xml:space="preserve">A Health Board </w:t>
      </w:r>
      <w:proofErr w:type="spellStart"/>
      <w:r w:rsidRPr="00D20BF6">
        <w:rPr>
          <w:rFonts w:asciiTheme="minorHAnsi" w:hAnsiTheme="minorHAnsi" w:cs="Tahoma"/>
        </w:rPr>
        <w:t>outwith</w:t>
      </w:r>
      <w:proofErr w:type="spellEnd"/>
      <w:r w:rsidRPr="00D20BF6">
        <w:rPr>
          <w:rFonts w:asciiTheme="minorHAnsi" w:hAnsiTheme="minorHAnsi" w:cs="Tahoma"/>
        </w:rPr>
        <w:t xml:space="preserve"> NHSGGC which has requested NHSGGC involvement in a patient’s case.</w:t>
      </w:r>
    </w:p>
    <w:p w14:paraId="113D13A9" w14:textId="77777777" w:rsidR="00EB7430" w:rsidRPr="00D20BF6" w:rsidRDefault="00EB7430" w:rsidP="001261E4">
      <w:pPr>
        <w:ind w:right="-56"/>
        <w:jc w:val="both"/>
        <w:rPr>
          <w:rFonts w:asciiTheme="minorHAnsi" w:hAnsiTheme="minorHAnsi" w:cs="Tahoma"/>
        </w:rPr>
      </w:pPr>
    </w:p>
    <w:p w14:paraId="113D13AA" w14:textId="77777777" w:rsidR="00EB7430" w:rsidRPr="00D20BF6" w:rsidRDefault="00EB7430" w:rsidP="001261E4">
      <w:pPr>
        <w:ind w:right="-56"/>
        <w:jc w:val="both"/>
        <w:rPr>
          <w:rFonts w:asciiTheme="minorHAnsi" w:hAnsiTheme="minorHAnsi" w:cs="Tahoma"/>
        </w:rPr>
      </w:pPr>
      <w:r w:rsidRPr="00D20BF6">
        <w:rPr>
          <w:rFonts w:asciiTheme="minorHAnsi" w:hAnsiTheme="minorHAnsi" w:cs="Tahoma"/>
        </w:rPr>
        <w:t xml:space="preserve">“Clinical Responsibility”: </w:t>
      </w:r>
    </w:p>
    <w:p w14:paraId="113D13AB" w14:textId="57FCF88F" w:rsidR="00EB7430" w:rsidRPr="00D20BF6" w:rsidRDefault="00EB7430" w:rsidP="001261E4">
      <w:pPr>
        <w:ind w:right="-56"/>
        <w:jc w:val="both"/>
        <w:rPr>
          <w:rFonts w:asciiTheme="minorHAnsi" w:hAnsiTheme="minorHAnsi" w:cs="Tahoma"/>
        </w:rPr>
      </w:pPr>
      <w:r w:rsidRPr="00D20BF6">
        <w:rPr>
          <w:rFonts w:asciiTheme="minorHAnsi" w:hAnsiTheme="minorHAnsi" w:cs="Tahoma"/>
        </w:rPr>
        <w:t xml:space="preserve">A home Board may refer a patient to a NHSGGC clinician for either advice or treatment or both. </w:t>
      </w:r>
    </w:p>
    <w:p w14:paraId="113D13AC" w14:textId="77777777" w:rsidR="00EB7430" w:rsidRPr="00D20BF6" w:rsidRDefault="00EB7430" w:rsidP="001261E4">
      <w:pPr>
        <w:ind w:right="-56"/>
        <w:jc w:val="both"/>
        <w:rPr>
          <w:rFonts w:asciiTheme="minorHAnsi" w:hAnsiTheme="minorHAnsi" w:cs="Tahoma"/>
        </w:rPr>
      </w:pPr>
    </w:p>
    <w:p w14:paraId="113D13AD" w14:textId="36C0B338" w:rsidR="00EB7430" w:rsidRPr="00D20BF6" w:rsidRDefault="00EB7430" w:rsidP="001261E4">
      <w:pPr>
        <w:numPr>
          <w:ilvl w:val="0"/>
          <w:numId w:val="15"/>
        </w:numPr>
        <w:ind w:right="-56"/>
        <w:jc w:val="both"/>
        <w:rPr>
          <w:rFonts w:asciiTheme="minorHAnsi" w:hAnsiTheme="minorHAnsi" w:cs="Tahoma"/>
        </w:rPr>
      </w:pPr>
      <w:r w:rsidRPr="00D20BF6">
        <w:rPr>
          <w:rFonts w:asciiTheme="minorHAnsi" w:hAnsiTheme="minorHAnsi" w:cs="Tahoma"/>
        </w:rPr>
        <w:t xml:space="preserve">Where advice alone is requested, the home board clinician retains responsibility for the patient’s treatment including the choice of medicines to be prescribed. In such instances, the Formulary processes within the home Board apply. </w:t>
      </w:r>
    </w:p>
    <w:p w14:paraId="113D13AE" w14:textId="1BCEFD84" w:rsidR="00EB7430" w:rsidRPr="00D20BF6" w:rsidRDefault="00EB7430" w:rsidP="001261E4">
      <w:pPr>
        <w:numPr>
          <w:ilvl w:val="0"/>
          <w:numId w:val="15"/>
        </w:numPr>
        <w:ind w:right="-56"/>
        <w:jc w:val="both"/>
        <w:rPr>
          <w:rFonts w:asciiTheme="minorHAnsi" w:hAnsiTheme="minorHAnsi" w:cs="Tahoma"/>
        </w:rPr>
      </w:pPr>
      <w:r w:rsidRPr="00D20BF6">
        <w:rPr>
          <w:rFonts w:asciiTheme="minorHAnsi" w:hAnsiTheme="minorHAnsi" w:cs="Tahoma"/>
        </w:rPr>
        <w:t>Where an NHSGGC clinician is requested to assume clinical responsibility and undertake treatment, the NHSGGC Formulary processes apply. This is the case in whichever setting or location the NHSGGC clinician is providing the service, including outpatient clinics within the geographical boundary of the home Board. Application for use of a non-formulary medicine relates to the NHSGGC Formulary and IPTR processes.</w:t>
      </w:r>
    </w:p>
    <w:p w14:paraId="113D13AF" w14:textId="77777777" w:rsidR="00EB7430" w:rsidRPr="00D20BF6" w:rsidRDefault="00EB7430" w:rsidP="001261E4">
      <w:pPr>
        <w:numPr>
          <w:ilvl w:val="0"/>
          <w:numId w:val="15"/>
        </w:numPr>
        <w:ind w:right="-56"/>
        <w:jc w:val="both"/>
        <w:rPr>
          <w:rFonts w:asciiTheme="minorHAnsi" w:hAnsiTheme="minorHAnsi" w:cs="Tahoma"/>
        </w:rPr>
      </w:pPr>
      <w:r w:rsidRPr="00D20BF6">
        <w:rPr>
          <w:rFonts w:asciiTheme="minorHAnsi" w:hAnsiTheme="minorHAnsi" w:cs="Tahoma"/>
        </w:rPr>
        <w:t>Where treatment is shared e.g. with a surgical patient requiring chemotherapy, the relevant process will align with the person taking responsibility for the prescribing.</w:t>
      </w:r>
    </w:p>
    <w:p w14:paraId="113D13B0" w14:textId="77777777" w:rsidR="00EB7430" w:rsidRPr="00D20BF6" w:rsidRDefault="00EB7430" w:rsidP="001261E4">
      <w:pPr>
        <w:ind w:right="-56"/>
        <w:jc w:val="both"/>
        <w:rPr>
          <w:rFonts w:asciiTheme="minorHAnsi" w:hAnsiTheme="minorHAnsi" w:cs="Tahoma"/>
        </w:rPr>
      </w:pPr>
    </w:p>
    <w:p w14:paraId="113D13B1" w14:textId="77777777" w:rsidR="00EB7430" w:rsidRPr="00D20BF6" w:rsidRDefault="00EB7430" w:rsidP="001261E4">
      <w:pPr>
        <w:ind w:right="-56"/>
        <w:jc w:val="both"/>
        <w:rPr>
          <w:rFonts w:asciiTheme="minorHAnsi" w:hAnsiTheme="minorHAnsi" w:cs="Tahoma"/>
        </w:rPr>
      </w:pPr>
      <w:r w:rsidRPr="00D20BF6">
        <w:rPr>
          <w:rFonts w:asciiTheme="minorHAnsi" w:hAnsiTheme="minorHAnsi" w:cs="Tahoma"/>
        </w:rPr>
        <w:t xml:space="preserve">“Observer”: </w:t>
      </w:r>
    </w:p>
    <w:p w14:paraId="113D13B2" w14:textId="643F7AD0" w:rsidR="00EB7430" w:rsidRPr="00D20BF6" w:rsidRDefault="00EB7430" w:rsidP="001261E4">
      <w:pPr>
        <w:ind w:right="-56"/>
        <w:jc w:val="both"/>
        <w:rPr>
          <w:rFonts w:asciiTheme="minorHAnsi" w:hAnsiTheme="minorHAnsi" w:cs="Tahoma"/>
        </w:rPr>
      </w:pPr>
      <w:r w:rsidRPr="00D20BF6">
        <w:rPr>
          <w:rFonts w:asciiTheme="minorHAnsi" w:hAnsiTheme="minorHAnsi" w:cs="Tahoma"/>
        </w:rPr>
        <w:t>This nominee has observing rights only with no participation or voting rights. The person observes the whole process including the private session(s). This ensures that the process is consistent for all patients, regardless of whether they are patients of NHSGGC or a home Board. It also ensures that the process is subject to external review. The Observer provides communication back to the home Board, both on the immediate decision and, if required, to inform feedback on process improvements to NHSGGC.</w:t>
      </w:r>
    </w:p>
    <w:p w14:paraId="113D13B3" w14:textId="77777777" w:rsidR="00EB7430" w:rsidRPr="00D20BF6" w:rsidRDefault="00EB7430" w:rsidP="005666A8">
      <w:pPr>
        <w:rPr>
          <w:rFonts w:asciiTheme="minorHAnsi" w:hAnsiTheme="minorHAnsi" w:cs="Tahoma"/>
          <w:b/>
          <w:caps/>
          <w:color w:val="000080"/>
        </w:rPr>
        <w:sectPr w:rsidR="00EB7430" w:rsidRPr="00D20BF6" w:rsidSect="001779C2">
          <w:headerReference w:type="default" r:id="rId13"/>
          <w:footerReference w:type="even" r:id="rId14"/>
          <w:footerReference w:type="default" r:id="rId15"/>
          <w:type w:val="continuous"/>
          <w:pgSz w:w="11906" w:h="16838"/>
          <w:pgMar w:top="851" w:right="851" w:bottom="1440" w:left="851" w:header="709" w:footer="709" w:gutter="0"/>
          <w:cols w:space="708"/>
          <w:docGrid w:linePitch="360"/>
        </w:sectPr>
      </w:pPr>
    </w:p>
    <w:p w14:paraId="113D13B4" w14:textId="77777777" w:rsidR="00EB7430" w:rsidRPr="00D20BF6" w:rsidRDefault="00EB7430" w:rsidP="00717975">
      <w:pPr>
        <w:jc w:val="both"/>
        <w:rPr>
          <w:rFonts w:asciiTheme="minorHAnsi" w:hAnsiTheme="minorHAnsi" w:cs="Tahoma"/>
          <w:b/>
          <w:color w:val="333399"/>
        </w:rPr>
      </w:pPr>
    </w:p>
    <w:sectPr w:rsidR="00EB7430" w:rsidRPr="00D20BF6" w:rsidSect="001779C2">
      <w:headerReference w:type="default" r:id="rId16"/>
      <w:type w:val="continuous"/>
      <w:pgSz w:w="11906" w:h="16838"/>
      <w:pgMar w:top="851"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1913" w14:textId="77777777" w:rsidR="00A47766" w:rsidRDefault="00A47766">
      <w:r>
        <w:separator/>
      </w:r>
    </w:p>
  </w:endnote>
  <w:endnote w:type="continuationSeparator" w:id="0">
    <w:p w14:paraId="4079CB7F" w14:textId="77777777" w:rsidR="00A47766" w:rsidRDefault="00A4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13BD" w14:textId="77777777" w:rsidR="00915922" w:rsidRDefault="0083163B" w:rsidP="007A4776">
    <w:pPr>
      <w:pStyle w:val="Footer"/>
      <w:framePr w:wrap="around" w:vAnchor="text" w:hAnchor="margin" w:xAlign="right" w:y="1"/>
      <w:rPr>
        <w:rStyle w:val="PageNumber"/>
      </w:rPr>
    </w:pPr>
    <w:r>
      <w:rPr>
        <w:rStyle w:val="PageNumber"/>
      </w:rPr>
      <w:fldChar w:fldCharType="begin"/>
    </w:r>
    <w:r w:rsidR="00915922">
      <w:rPr>
        <w:rStyle w:val="PageNumber"/>
      </w:rPr>
      <w:instrText xml:space="preserve">PAGE  </w:instrText>
    </w:r>
    <w:r>
      <w:rPr>
        <w:rStyle w:val="PageNumber"/>
      </w:rPr>
      <w:fldChar w:fldCharType="separate"/>
    </w:r>
    <w:r w:rsidR="00915922">
      <w:rPr>
        <w:rStyle w:val="PageNumber"/>
        <w:noProof/>
      </w:rPr>
      <w:t>5</w:t>
    </w:r>
    <w:r>
      <w:rPr>
        <w:rStyle w:val="PageNumber"/>
      </w:rPr>
      <w:fldChar w:fldCharType="end"/>
    </w:r>
  </w:p>
  <w:p w14:paraId="113D13BE" w14:textId="77777777" w:rsidR="00915922" w:rsidRDefault="00915922" w:rsidP="005903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57" w:type="dxa"/>
        <w:left w:w="0" w:type="dxa"/>
        <w:bottom w:w="57" w:type="dxa"/>
        <w:right w:w="0" w:type="dxa"/>
      </w:tblCellMar>
      <w:tblLook w:val="01E0" w:firstRow="1" w:lastRow="1" w:firstColumn="1" w:lastColumn="1" w:noHBand="0" w:noVBand="0"/>
    </w:tblPr>
    <w:tblGrid>
      <w:gridCol w:w="7739"/>
      <w:gridCol w:w="2465"/>
    </w:tblGrid>
    <w:tr w:rsidR="00D20BF6" w:rsidRPr="00DB62C1" w14:paraId="113D13C1" w14:textId="77777777" w:rsidTr="00FD734F">
      <w:trPr>
        <w:jc w:val="center"/>
      </w:trPr>
      <w:tc>
        <w:tcPr>
          <w:tcW w:w="3792" w:type="pct"/>
          <w:tcBorders>
            <w:top w:val="nil"/>
            <w:left w:val="nil"/>
            <w:bottom w:val="nil"/>
            <w:right w:val="nil"/>
          </w:tcBorders>
          <w:vAlign w:val="center"/>
        </w:tcPr>
        <w:p w14:paraId="113D13BF" w14:textId="3C5FBF08" w:rsidR="00D20BF6" w:rsidRPr="00DB62C1" w:rsidRDefault="00D20BF6" w:rsidP="00FD734F">
          <w:pPr>
            <w:pStyle w:val="Footer"/>
            <w:rPr>
              <w:rFonts w:asciiTheme="minorHAnsi" w:hAnsiTheme="minorHAnsi" w:cstheme="minorHAnsi"/>
              <w:sz w:val="16"/>
              <w:szCs w:val="16"/>
            </w:rPr>
          </w:pPr>
          <w:r w:rsidRPr="00DB62C1">
            <w:rPr>
              <w:rFonts w:asciiTheme="minorHAnsi" w:hAnsiTheme="minorHAnsi" w:cstheme="minorHAnsi"/>
              <w:sz w:val="16"/>
              <w:szCs w:val="16"/>
            </w:rPr>
            <w:t xml:space="preserve">File name: </w:t>
          </w:r>
          <w:r w:rsidR="00987818">
            <w:rPr>
              <w:rFonts w:asciiTheme="minorHAnsi" w:hAnsiTheme="minorHAnsi" w:cstheme="minorHAnsi"/>
              <w:noProof/>
              <w:sz w:val="16"/>
              <w:szCs w:val="16"/>
            </w:rPr>
            <w:fldChar w:fldCharType="begin"/>
          </w:r>
          <w:r w:rsidR="00987818">
            <w:rPr>
              <w:rFonts w:asciiTheme="minorHAnsi" w:hAnsiTheme="minorHAnsi" w:cstheme="minorHAnsi"/>
              <w:noProof/>
              <w:sz w:val="16"/>
              <w:szCs w:val="16"/>
            </w:rPr>
            <w:instrText xml:space="preserve"> FILENAME   \* MERGEFORMAT </w:instrText>
          </w:r>
          <w:r w:rsidR="00987818">
            <w:rPr>
              <w:rFonts w:asciiTheme="minorHAnsi" w:hAnsiTheme="minorHAnsi" w:cstheme="minorHAnsi"/>
              <w:noProof/>
              <w:sz w:val="16"/>
              <w:szCs w:val="16"/>
            </w:rPr>
            <w:fldChar w:fldCharType="separate"/>
          </w:r>
          <w:r w:rsidR="00F31538">
            <w:rPr>
              <w:rFonts w:asciiTheme="minorHAnsi" w:hAnsiTheme="minorHAnsi" w:cstheme="minorHAnsi"/>
              <w:noProof/>
              <w:sz w:val="16"/>
              <w:szCs w:val="16"/>
            </w:rPr>
            <w:t xml:space="preserve">5.5 IPTR Appeal - </w:t>
          </w:r>
          <w:r w:rsidR="005F6EDE">
            <w:rPr>
              <w:rFonts w:asciiTheme="minorHAnsi" w:hAnsiTheme="minorHAnsi" w:cstheme="minorHAnsi"/>
              <w:noProof/>
              <w:sz w:val="16"/>
              <w:szCs w:val="16"/>
            </w:rPr>
            <w:t xml:space="preserve">December </w:t>
          </w:r>
          <w:r w:rsidR="00F31538">
            <w:rPr>
              <w:rFonts w:asciiTheme="minorHAnsi" w:hAnsiTheme="minorHAnsi" w:cstheme="minorHAnsi"/>
              <w:noProof/>
              <w:sz w:val="16"/>
              <w:szCs w:val="16"/>
            </w:rPr>
            <w:t>202</w:t>
          </w:r>
          <w:r w:rsidR="00987818">
            <w:rPr>
              <w:rFonts w:asciiTheme="minorHAnsi" w:hAnsiTheme="minorHAnsi" w:cstheme="minorHAnsi"/>
              <w:noProof/>
              <w:sz w:val="16"/>
              <w:szCs w:val="16"/>
            </w:rPr>
            <w:fldChar w:fldCharType="end"/>
          </w:r>
          <w:r w:rsidR="00203A97">
            <w:rPr>
              <w:rFonts w:asciiTheme="minorHAnsi" w:hAnsiTheme="minorHAnsi" w:cstheme="minorHAnsi"/>
              <w:noProof/>
              <w:sz w:val="16"/>
              <w:szCs w:val="16"/>
            </w:rPr>
            <w:t>5</w:t>
          </w:r>
        </w:p>
      </w:tc>
      <w:tc>
        <w:tcPr>
          <w:tcW w:w="1208" w:type="pct"/>
          <w:tcBorders>
            <w:top w:val="nil"/>
            <w:left w:val="nil"/>
            <w:bottom w:val="nil"/>
            <w:right w:val="nil"/>
          </w:tcBorders>
          <w:vAlign w:val="center"/>
        </w:tcPr>
        <w:p w14:paraId="113D13C0" w14:textId="6689EF6D" w:rsidR="00D20BF6" w:rsidRPr="00DB62C1" w:rsidRDefault="00D20BF6" w:rsidP="00FD734F">
          <w:pPr>
            <w:pStyle w:val="Footer"/>
            <w:rPr>
              <w:rFonts w:asciiTheme="minorHAnsi" w:hAnsiTheme="minorHAnsi" w:cstheme="minorHAnsi"/>
              <w:sz w:val="16"/>
              <w:szCs w:val="16"/>
            </w:rPr>
          </w:pPr>
          <w:r w:rsidRPr="00DB62C1">
            <w:rPr>
              <w:rFonts w:asciiTheme="minorHAnsi" w:hAnsiTheme="minorHAnsi" w:cstheme="minorHAnsi"/>
              <w:sz w:val="16"/>
              <w:szCs w:val="16"/>
            </w:rPr>
            <w:t>Date of last revision</w:t>
          </w:r>
          <w:r w:rsidR="00BC3039">
            <w:rPr>
              <w:rFonts w:asciiTheme="minorHAnsi" w:hAnsiTheme="minorHAnsi" w:cstheme="minorHAnsi"/>
              <w:sz w:val="16"/>
              <w:szCs w:val="16"/>
            </w:rPr>
            <w:t>: 08/12/25</w:t>
          </w:r>
        </w:p>
      </w:tc>
    </w:tr>
    <w:tr w:rsidR="00D20BF6" w:rsidRPr="00DB62C1" w14:paraId="113D13C4" w14:textId="77777777" w:rsidTr="00FD734F">
      <w:trPr>
        <w:jc w:val="center"/>
      </w:trPr>
      <w:tc>
        <w:tcPr>
          <w:tcW w:w="3792" w:type="pct"/>
          <w:tcBorders>
            <w:top w:val="nil"/>
            <w:left w:val="nil"/>
            <w:bottom w:val="nil"/>
            <w:right w:val="nil"/>
          </w:tcBorders>
          <w:vAlign w:val="center"/>
        </w:tcPr>
        <w:p w14:paraId="113D13C2" w14:textId="3CE86A8A" w:rsidR="00D20BF6" w:rsidRPr="00DB62C1" w:rsidRDefault="00D20BF6" w:rsidP="00FD734F">
          <w:pPr>
            <w:pStyle w:val="Footer"/>
            <w:rPr>
              <w:rFonts w:asciiTheme="minorHAnsi" w:hAnsiTheme="minorHAnsi" w:cstheme="minorHAnsi"/>
              <w:sz w:val="16"/>
              <w:szCs w:val="16"/>
            </w:rPr>
          </w:pPr>
          <w:proofErr w:type="gramStart"/>
          <w:r w:rsidRPr="00DB62C1">
            <w:rPr>
              <w:rFonts w:asciiTheme="minorHAnsi" w:hAnsiTheme="minorHAnsi" w:cstheme="minorHAnsi"/>
              <w:sz w:val="16"/>
              <w:szCs w:val="16"/>
            </w:rPr>
            <w:t>Written  by</w:t>
          </w:r>
          <w:proofErr w:type="gramEnd"/>
          <w:r w:rsidRPr="00DB62C1">
            <w:rPr>
              <w:rFonts w:asciiTheme="minorHAnsi" w:hAnsiTheme="minorHAnsi" w:cstheme="minorHAnsi"/>
              <w:sz w:val="16"/>
              <w:szCs w:val="16"/>
            </w:rPr>
            <w:t xml:space="preserve">: </w:t>
          </w:r>
          <w:r>
            <w:rPr>
              <w:rFonts w:asciiTheme="minorHAnsi" w:hAnsiTheme="minorHAnsi" w:cstheme="minorHAnsi"/>
              <w:sz w:val="16"/>
              <w:szCs w:val="16"/>
            </w:rPr>
            <w:t xml:space="preserve"> </w:t>
          </w:r>
          <w:r w:rsidR="00203A97">
            <w:rPr>
              <w:rFonts w:asciiTheme="minorHAnsi" w:hAnsiTheme="minorHAnsi" w:cstheme="minorHAnsi"/>
              <w:sz w:val="16"/>
              <w:szCs w:val="16"/>
            </w:rPr>
            <w:t xml:space="preserve"> Medicines Policy and Guidance Team</w:t>
          </w:r>
        </w:p>
      </w:tc>
      <w:tc>
        <w:tcPr>
          <w:tcW w:w="1208" w:type="pct"/>
          <w:tcBorders>
            <w:top w:val="nil"/>
            <w:left w:val="nil"/>
            <w:bottom w:val="nil"/>
            <w:right w:val="nil"/>
          </w:tcBorders>
          <w:vAlign w:val="center"/>
        </w:tcPr>
        <w:p w14:paraId="113D13C3" w14:textId="17DABDFF" w:rsidR="00D20BF6" w:rsidRPr="00DB62C1" w:rsidRDefault="00D20BF6" w:rsidP="001B4F09">
          <w:pPr>
            <w:pStyle w:val="Footer"/>
            <w:rPr>
              <w:rFonts w:asciiTheme="minorHAnsi" w:hAnsiTheme="minorHAnsi" w:cstheme="minorHAnsi"/>
              <w:sz w:val="16"/>
              <w:szCs w:val="16"/>
            </w:rPr>
          </w:pPr>
          <w:r w:rsidRPr="00DB62C1">
            <w:rPr>
              <w:rFonts w:asciiTheme="minorHAnsi" w:hAnsiTheme="minorHAnsi" w:cstheme="minorHAnsi"/>
              <w:sz w:val="16"/>
              <w:szCs w:val="16"/>
            </w:rPr>
            <w:t>Date Appr</w:t>
          </w:r>
          <w:r>
            <w:rPr>
              <w:rFonts w:asciiTheme="minorHAnsi" w:hAnsiTheme="minorHAnsi" w:cstheme="minorHAnsi"/>
              <w:sz w:val="16"/>
              <w:szCs w:val="16"/>
            </w:rPr>
            <w:t xml:space="preserve">oved: </w:t>
          </w:r>
          <w:r w:rsidR="004A0199" w:rsidRPr="004A0199">
            <w:rPr>
              <w:rFonts w:asciiTheme="minorHAnsi" w:hAnsiTheme="minorHAnsi" w:cstheme="minorHAnsi"/>
              <w:sz w:val="16"/>
              <w:szCs w:val="16"/>
            </w:rPr>
            <w:t>08/12/2025</w:t>
          </w:r>
        </w:p>
      </w:tc>
    </w:tr>
    <w:tr w:rsidR="00D20BF6" w:rsidRPr="00DB62C1" w14:paraId="113D13C7" w14:textId="77777777" w:rsidTr="00FD734F">
      <w:trPr>
        <w:jc w:val="center"/>
      </w:trPr>
      <w:tc>
        <w:tcPr>
          <w:tcW w:w="3792" w:type="pct"/>
          <w:tcBorders>
            <w:top w:val="nil"/>
            <w:left w:val="nil"/>
            <w:bottom w:val="nil"/>
            <w:right w:val="nil"/>
          </w:tcBorders>
          <w:vAlign w:val="center"/>
        </w:tcPr>
        <w:p w14:paraId="113D13C5" w14:textId="77777777" w:rsidR="00D20BF6" w:rsidRPr="00DB62C1" w:rsidRDefault="00D20BF6" w:rsidP="00FD734F">
          <w:pPr>
            <w:pStyle w:val="Footer"/>
            <w:rPr>
              <w:rFonts w:asciiTheme="minorHAnsi" w:hAnsiTheme="minorHAnsi" w:cstheme="minorHAnsi"/>
              <w:sz w:val="16"/>
              <w:szCs w:val="16"/>
            </w:rPr>
          </w:pPr>
          <w:r w:rsidRPr="00DB62C1">
            <w:rPr>
              <w:rFonts w:asciiTheme="minorHAnsi" w:hAnsiTheme="minorHAnsi" w:cstheme="minorHAnsi"/>
              <w:sz w:val="16"/>
              <w:szCs w:val="16"/>
            </w:rPr>
            <w:t>Approved by:</w:t>
          </w:r>
          <w:r>
            <w:rPr>
              <w:rFonts w:asciiTheme="minorHAnsi" w:hAnsiTheme="minorHAnsi" w:cstheme="minorHAnsi"/>
              <w:sz w:val="16"/>
              <w:szCs w:val="16"/>
            </w:rPr>
            <w:t xml:space="preserve"> Area Drug and Therapeutics Committee Executive</w:t>
          </w:r>
        </w:p>
      </w:tc>
      <w:tc>
        <w:tcPr>
          <w:tcW w:w="1208" w:type="pct"/>
          <w:tcBorders>
            <w:top w:val="nil"/>
            <w:left w:val="nil"/>
            <w:bottom w:val="nil"/>
            <w:right w:val="nil"/>
          </w:tcBorders>
          <w:vAlign w:val="center"/>
        </w:tcPr>
        <w:p w14:paraId="113D13C6" w14:textId="455FCC19" w:rsidR="00D20BF6" w:rsidRPr="00DB62C1" w:rsidRDefault="00BB350B" w:rsidP="00987818">
          <w:pPr>
            <w:pStyle w:val="Footer"/>
            <w:rPr>
              <w:rFonts w:asciiTheme="minorHAnsi" w:hAnsiTheme="minorHAnsi" w:cstheme="minorHAnsi"/>
              <w:sz w:val="16"/>
              <w:szCs w:val="16"/>
            </w:rPr>
          </w:pPr>
          <w:r>
            <w:rPr>
              <w:rFonts w:asciiTheme="minorHAnsi" w:hAnsiTheme="minorHAnsi" w:cstheme="minorHAnsi"/>
              <w:sz w:val="16"/>
              <w:szCs w:val="16"/>
            </w:rPr>
            <w:t xml:space="preserve">Date for Review: </w:t>
          </w:r>
          <w:r w:rsidR="004A0199" w:rsidRPr="004A0199">
            <w:rPr>
              <w:rFonts w:asciiTheme="minorHAnsi" w:hAnsiTheme="minorHAnsi" w:cstheme="minorHAnsi"/>
              <w:sz w:val="16"/>
              <w:szCs w:val="16"/>
            </w:rPr>
            <w:t>08</w:t>
          </w:r>
          <w:r w:rsidR="001B4F09" w:rsidRPr="004A0199">
            <w:rPr>
              <w:rFonts w:asciiTheme="minorHAnsi" w:hAnsiTheme="minorHAnsi" w:cstheme="minorHAnsi"/>
              <w:sz w:val="16"/>
              <w:szCs w:val="16"/>
            </w:rPr>
            <w:t>/12</w:t>
          </w:r>
          <w:r w:rsidR="00987818" w:rsidRPr="004A0199">
            <w:rPr>
              <w:rFonts w:asciiTheme="minorHAnsi" w:hAnsiTheme="minorHAnsi" w:cstheme="minorHAnsi"/>
              <w:sz w:val="16"/>
              <w:szCs w:val="16"/>
            </w:rPr>
            <w:t>/202</w:t>
          </w:r>
          <w:r w:rsidR="004A0199" w:rsidRPr="004A0199">
            <w:rPr>
              <w:rFonts w:asciiTheme="minorHAnsi" w:hAnsiTheme="minorHAnsi" w:cstheme="minorHAnsi"/>
              <w:sz w:val="16"/>
              <w:szCs w:val="16"/>
            </w:rPr>
            <w:t>8</w:t>
          </w:r>
        </w:p>
      </w:tc>
    </w:tr>
    <w:tr w:rsidR="00D20BF6" w:rsidRPr="00DB62C1" w14:paraId="113D13C9" w14:textId="77777777" w:rsidTr="00FD734F">
      <w:trPr>
        <w:jc w:val="center"/>
      </w:trPr>
      <w:tc>
        <w:tcPr>
          <w:tcW w:w="5000" w:type="pct"/>
          <w:gridSpan w:val="2"/>
          <w:tcBorders>
            <w:top w:val="nil"/>
            <w:left w:val="nil"/>
            <w:bottom w:val="nil"/>
            <w:right w:val="nil"/>
          </w:tcBorders>
          <w:vAlign w:val="center"/>
        </w:tcPr>
        <w:p w14:paraId="113D13C8" w14:textId="77777777" w:rsidR="00D20BF6" w:rsidRPr="006F7874" w:rsidRDefault="00D20BF6" w:rsidP="00FD734F">
          <w:pPr>
            <w:pStyle w:val="Footer"/>
            <w:jc w:val="center"/>
            <w:rPr>
              <w:rFonts w:asciiTheme="minorHAnsi" w:hAnsiTheme="minorHAnsi" w:cstheme="minorHAnsi"/>
              <w:b/>
              <w:sz w:val="16"/>
              <w:szCs w:val="16"/>
            </w:rPr>
          </w:pPr>
          <w:r w:rsidRPr="006F7874">
            <w:rPr>
              <w:rFonts w:asciiTheme="minorHAnsi" w:hAnsiTheme="minorHAnsi" w:cstheme="minorHAnsi"/>
              <w:b/>
              <w:sz w:val="16"/>
              <w:szCs w:val="16"/>
            </w:rPr>
            <w:t xml:space="preserve">Page: </w:t>
          </w:r>
          <w:r w:rsidRPr="006F7874">
            <w:rPr>
              <w:rStyle w:val="PageNumber"/>
              <w:rFonts w:asciiTheme="minorHAnsi" w:hAnsiTheme="minorHAnsi" w:cstheme="minorHAnsi"/>
              <w:b/>
              <w:sz w:val="16"/>
              <w:szCs w:val="16"/>
            </w:rPr>
            <w:fldChar w:fldCharType="begin"/>
          </w:r>
          <w:r w:rsidRPr="006F7874">
            <w:rPr>
              <w:rStyle w:val="PageNumber"/>
              <w:rFonts w:asciiTheme="minorHAnsi" w:hAnsiTheme="minorHAnsi" w:cstheme="minorHAnsi"/>
              <w:b/>
              <w:sz w:val="16"/>
              <w:szCs w:val="16"/>
            </w:rPr>
            <w:instrText xml:space="preserve"> PAGE </w:instrText>
          </w:r>
          <w:r w:rsidRPr="006F7874">
            <w:rPr>
              <w:rStyle w:val="PageNumber"/>
              <w:rFonts w:asciiTheme="minorHAnsi" w:hAnsiTheme="minorHAnsi" w:cstheme="minorHAnsi"/>
              <w:b/>
              <w:sz w:val="16"/>
              <w:szCs w:val="16"/>
            </w:rPr>
            <w:fldChar w:fldCharType="separate"/>
          </w:r>
          <w:r w:rsidR="00F31538">
            <w:rPr>
              <w:rStyle w:val="PageNumber"/>
              <w:rFonts w:asciiTheme="minorHAnsi" w:hAnsiTheme="minorHAnsi" w:cstheme="minorHAnsi"/>
              <w:b/>
              <w:noProof/>
              <w:sz w:val="16"/>
              <w:szCs w:val="16"/>
            </w:rPr>
            <w:t>5</w:t>
          </w:r>
          <w:r w:rsidRPr="006F7874">
            <w:rPr>
              <w:rStyle w:val="PageNumber"/>
              <w:rFonts w:asciiTheme="minorHAnsi" w:hAnsiTheme="minorHAnsi" w:cstheme="minorHAnsi"/>
              <w:b/>
              <w:sz w:val="16"/>
              <w:szCs w:val="16"/>
            </w:rPr>
            <w:fldChar w:fldCharType="end"/>
          </w:r>
          <w:r w:rsidRPr="006F7874">
            <w:rPr>
              <w:rStyle w:val="PageNumber"/>
              <w:rFonts w:asciiTheme="minorHAnsi" w:hAnsiTheme="minorHAnsi" w:cstheme="minorHAnsi"/>
              <w:b/>
              <w:sz w:val="16"/>
              <w:szCs w:val="16"/>
            </w:rPr>
            <w:t xml:space="preserve"> of </w:t>
          </w:r>
          <w:r w:rsidRPr="006F7874">
            <w:rPr>
              <w:rStyle w:val="PageNumber"/>
              <w:rFonts w:asciiTheme="minorHAnsi" w:hAnsiTheme="minorHAnsi" w:cstheme="minorHAnsi"/>
              <w:b/>
              <w:sz w:val="16"/>
              <w:szCs w:val="16"/>
            </w:rPr>
            <w:fldChar w:fldCharType="begin"/>
          </w:r>
          <w:r w:rsidRPr="006F7874">
            <w:rPr>
              <w:rStyle w:val="PageNumber"/>
              <w:rFonts w:asciiTheme="minorHAnsi" w:hAnsiTheme="minorHAnsi" w:cstheme="minorHAnsi"/>
              <w:b/>
              <w:sz w:val="16"/>
              <w:szCs w:val="16"/>
            </w:rPr>
            <w:instrText xml:space="preserve"> NUMPAGES </w:instrText>
          </w:r>
          <w:r w:rsidRPr="006F7874">
            <w:rPr>
              <w:rStyle w:val="PageNumber"/>
              <w:rFonts w:asciiTheme="minorHAnsi" w:hAnsiTheme="minorHAnsi" w:cstheme="minorHAnsi"/>
              <w:b/>
              <w:sz w:val="16"/>
              <w:szCs w:val="16"/>
            </w:rPr>
            <w:fldChar w:fldCharType="separate"/>
          </w:r>
          <w:r w:rsidR="00F31538">
            <w:rPr>
              <w:rStyle w:val="PageNumber"/>
              <w:rFonts w:asciiTheme="minorHAnsi" w:hAnsiTheme="minorHAnsi" w:cstheme="minorHAnsi"/>
              <w:b/>
              <w:noProof/>
              <w:sz w:val="16"/>
              <w:szCs w:val="16"/>
            </w:rPr>
            <w:t>5</w:t>
          </w:r>
          <w:r w:rsidRPr="006F7874">
            <w:rPr>
              <w:rStyle w:val="PageNumber"/>
              <w:rFonts w:asciiTheme="minorHAnsi" w:hAnsiTheme="minorHAnsi" w:cstheme="minorHAnsi"/>
              <w:b/>
              <w:sz w:val="16"/>
              <w:szCs w:val="16"/>
            </w:rPr>
            <w:fldChar w:fldCharType="end"/>
          </w:r>
        </w:p>
      </w:tc>
    </w:tr>
  </w:tbl>
  <w:p w14:paraId="113D13CA" w14:textId="77777777" w:rsidR="00915922" w:rsidRPr="00D20BF6" w:rsidRDefault="00915922" w:rsidP="00D20BF6">
    <w:pPr>
      <w:pStyle w:val="Footer"/>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1D3E" w14:textId="77777777" w:rsidR="00A47766" w:rsidRDefault="00A47766">
      <w:r>
        <w:separator/>
      </w:r>
    </w:p>
  </w:footnote>
  <w:footnote w:type="continuationSeparator" w:id="0">
    <w:p w14:paraId="53970E8F" w14:textId="77777777" w:rsidR="00A47766" w:rsidRDefault="00A47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13B9" w14:textId="77777777" w:rsidR="00D20BF6" w:rsidRPr="00D20BF6" w:rsidRDefault="00D20BF6" w:rsidP="00D20BF6">
    <w:pPr>
      <w:pStyle w:val="BodyText"/>
      <w:jc w:val="left"/>
      <w:rPr>
        <w:rFonts w:ascii="Arial" w:hAnsi="Arial" w:cs="Arial"/>
        <w:sz w:val="22"/>
        <w:szCs w:val="22"/>
      </w:rPr>
    </w:pPr>
    <w:r w:rsidRPr="00D20BF6">
      <w:rPr>
        <w:rFonts w:ascii="Arial" w:hAnsi="Arial" w:cs="Arial"/>
        <w:noProof/>
        <w:sz w:val="22"/>
        <w:szCs w:val="22"/>
        <w:lang w:eastAsia="en-GB"/>
      </w:rPr>
      <w:drawing>
        <wp:anchor distT="0" distB="0" distL="114300" distR="114300" simplePos="0" relativeHeight="251658240" behindDoc="0" locked="0" layoutInCell="1" allowOverlap="1" wp14:anchorId="113D13D2" wp14:editId="113D13D3">
          <wp:simplePos x="0" y="0"/>
          <wp:positionH relativeFrom="margin">
            <wp:posOffset>5981065</wp:posOffset>
          </wp:positionH>
          <wp:positionV relativeFrom="margin">
            <wp:posOffset>-791845</wp:posOffset>
          </wp:positionV>
          <wp:extent cx="603250" cy="440055"/>
          <wp:effectExtent l="19050" t="0" r="6350" b="0"/>
          <wp:wrapSquare wrapText="bothSides"/>
          <wp:docPr id="3" name="Picture 0" descr="NHSGGC - logo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GGC - logo - black.jpg"/>
                  <pic:cNvPicPr/>
                </pic:nvPicPr>
                <pic:blipFill>
                  <a:blip r:embed="rId1"/>
                  <a:stretch>
                    <a:fillRect/>
                  </a:stretch>
                </pic:blipFill>
                <pic:spPr>
                  <a:xfrm>
                    <a:off x="0" y="0"/>
                    <a:ext cx="603250" cy="440055"/>
                  </a:xfrm>
                  <a:prstGeom prst="rect">
                    <a:avLst/>
                  </a:prstGeom>
                </pic:spPr>
              </pic:pic>
            </a:graphicData>
          </a:graphic>
        </wp:anchor>
      </w:drawing>
    </w:r>
    <w:r w:rsidRPr="00D20BF6">
      <w:rPr>
        <w:rFonts w:ascii="Arial" w:hAnsi="Arial" w:cs="Arial"/>
        <w:noProof/>
        <w:sz w:val="22"/>
        <w:szCs w:val="22"/>
        <w:lang w:eastAsia="en-GB"/>
      </w:rPr>
      <w:t>NHS Greater Glasgow and Clyde</w:t>
    </w:r>
  </w:p>
  <w:p w14:paraId="113D13BA" w14:textId="77777777" w:rsidR="00D20BF6" w:rsidRPr="00D20BF6" w:rsidRDefault="00D20BF6" w:rsidP="00D20BF6">
    <w:pPr>
      <w:pStyle w:val="BodyText"/>
      <w:jc w:val="left"/>
      <w:rPr>
        <w:rFonts w:ascii="Arial" w:hAnsi="Arial" w:cs="Arial"/>
        <w:b w:val="0"/>
        <w:sz w:val="22"/>
        <w:szCs w:val="22"/>
      </w:rPr>
    </w:pPr>
    <w:r>
      <w:rPr>
        <w:rFonts w:ascii="Arial" w:hAnsi="Arial" w:cs="Arial"/>
        <w:sz w:val="22"/>
        <w:szCs w:val="22"/>
      </w:rPr>
      <w:t>5.5 Individual Patient Treatment Request (IPTR) Appeal Process</w:t>
    </w:r>
  </w:p>
  <w:p w14:paraId="113D13BB" w14:textId="77777777" w:rsidR="00D20BF6" w:rsidRDefault="00D20BF6" w:rsidP="00D20BF6">
    <w:pPr>
      <w:pStyle w:val="BodyText"/>
    </w:pPr>
  </w:p>
  <w:p w14:paraId="113D13BC" w14:textId="77777777" w:rsidR="00915922" w:rsidRDefault="00915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8" w:space="0" w:color="0000FF"/>
      </w:tblBorders>
      <w:tblLook w:val="01E0" w:firstRow="1" w:lastRow="1" w:firstColumn="1" w:lastColumn="1" w:noHBand="0" w:noVBand="0"/>
    </w:tblPr>
    <w:tblGrid>
      <w:gridCol w:w="8871"/>
      <w:gridCol w:w="1333"/>
    </w:tblGrid>
    <w:tr w:rsidR="00915922" w14:paraId="113D13CE" w14:textId="77777777" w:rsidTr="00BE435B">
      <w:tc>
        <w:tcPr>
          <w:tcW w:w="4347" w:type="pct"/>
          <w:vAlign w:val="center"/>
        </w:tcPr>
        <w:p w14:paraId="113D13CB" w14:textId="77777777" w:rsidR="00915922" w:rsidRPr="00BE435B" w:rsidRDefault="00915922" w:rsidP="00CF0A05">
          <w:pPr>
            <w:pStyle w:val="Header"/>
            <w:rPr>
              <w:rFonts w:ascii="Trebuchet MS" w:hAnsi="Trebuchet MS"/>
              <w:b/>
              <w:smallCaps/>
              <w:color w:val="000080"/>
            </w:rPr>
          </w:pPr>
          <w:r w:rsidRPr="00BE435B">
            <w:rPr>
              <w:rFonts w:ascii="Trebuchet MS" w:hAnsi="Trebuchet MS"/>
              <w:b/>
              <w:smallCaps/>
              <w:color w:val="000080"/>
            </w:rPr>
            <w:t xml:space="preserve">NHS Greater </w:t>
          </w:r>
          <w:smartTag w:uri="urn:schemas-microsoft-com:office:smarttags" w:element="stockticker">
            <w:r w:rsidRPr="00BE435B">
              <w:rPr>
                <w:rFonts w:ascii="Trebuchet MS" w:hAnsi="Trebuchet MS"/>
                <w:b/>
                <w:smallCaps/>
                <w:color w:val="000080"/>
              </w:rPr>
              <w:t>Glasgow</w:t>
            </w:r>
          </w:smartTag>
          <w:r w:rsidRPr="00BE435B">
            <w:rPr>
              <w:rFonts w:ascii="Trebuchet MS" w:hAnsi="Trebuchet MS"/>
              <w:b/>
              <w:smallCaps/>
              <w:color w:val="000080"/>
            </w:rPr>
            <w:t xml:space="preserve"> and </w:t>
          </w:r>
          <w:smartTag w:uri="urn:schemas-microsoft-com:office:smarttags" w:element="place">
            <w:r w:rsidRPr="00BE435B">
              <w:rPr>
                <w:rFonts w:ascii="Trebuchet MS" w:hAnsi="Trebuchet MS"/>
                <w:b/>
                <w:smallCaps/>
                <w:color w:val="000080"/>
              </w:rPr>
              <w:t>Clyde</w:t>
            </w:r>
          </w:smartTag>
        </w:p>
        <w:p w14:paraId="113D13CC" w14:textId="77777777" w:rsidR="00915922" w:rsidRPr="00BE435B" w:rsidRDefault="00915922" w:rsidP="00CF0A05">
          <w:pPr>
            <w:pStyle w:val="Header"/>
            <w:rPr>
              <w:rFonts w:ascii="Trebuchet MS" w:hAnsi="Trebuchet MS"/>
            </w:rPr>
          </w:pPr>
          <w:r w:rsidRPr="00BE435B">
            <w:rPr>
              <w:rFonts w:ascii="Trebuchet MS" w:hAnsi="Trebuchet MS"/>
              <w:b/>
              <w:smallCaps/>
              <w:color w:val="000080"/>
            </w:rPr>
            <w:t>Policies Relating to the Management of Medicines</w:t>
          </w:r>
        </w:p>
      </w:tc>
      <w:tc>
        <w:tcPr>
          <w:tcW w:w="653" w:type="pct"/>
          <w:vAlign w:val="center"/>
        </w:tcPr>
        <w:p w14:paraId="113D13CD" w14:textId="77777777" w:rsidR="00915922" w:rsidRDefault="00815FF4" w:rsidP="00BE435B">
          <w:pPr>
            <w:pStyle w:val="Header"/>
            <w:jc w:val="center"/>
          </w:pPr>
          <w:r>
            <w:rPr>
              <w:noProof/>
            </w:rPr>
            <w:drawing>
              <wp:inline distT="0" distB="0" distL="0" distR="0" wp14:anchorId="113D13D4" wp14:editId="113D13D5">
                <wp:extent cx="626110" cy="450850"/>
                <wp:effectExtent l="19050" t="0" r="2540" b="0"/>
                <wp:docPr id="2" name="Picture 2" descr="NHSGGC - logo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GGC - logo - colour"/>
                        <pic:cNvPicPr>
                          <a:picLocks noChangeAspect="1" noChangeArrowheads="1"/>
                        </pic:cNvPicPr>
                      </pic:nvPicPr>
                      <pic:blipFill>
                        <a:blip r:embed="rId1"/>
                        <a:srcRect/>
                        <a:stretch>
                          <a:fillRect/>
                        </a:stretch>
                      </pic:blipFill>
                      <pic:spPr bwMode="auto">
                        <a:xfrm>
                          <a:off x="0" y="0"/>
                          <a:ext cx="626110" cy="450850"/>
                        </a:xfrm>
                        <a:prstGeom prst="rect">
                          <a:avLst/>
                        </a:prstGeom>
                        <a:noFill/>
                        <a:ln w="9525">
                          <a:noFill/>
                          <a:miter lim="800000"/>
                          <a:headEnd/>
                          <a:tailEnd/>
                        </a:ln>
                      </pic:spPr>
                    </pic:pic>
                  </a:graphicData>
                </a:graphic>
              </wp:inline>
            </w:drawing>
          </w:r>
        </w:p>
      </w:tc>
    </w:tr>
    <w:tr w:rsidR="00915922" w14:paraId="113D13D0" w14:textId="77777777" w:rsidTr="00BE435B">
      <w:tc>
        <w:tcPr>
          <w:tcW w:w="5000" w:type="pct"/>
          <w:gridSpan w:val="2"/>
          <w:tcBorders>
            <w:bottom w:val="single" w:sz="48" w:space="0" w:color="0000FF"/>
          </w:tcBorders>
          <w:vAlign w:val="center"/>
        </w:tcPr>
        <w:p w14:paraId="113D13CF" w14:textId="77777777" w:rsidR="00915922" w:rsidRPr="00BE435B" w:rsidRDefault="00915922" w:rsidP="00590348">
          <w:pPr>
            <w:pStyle w:val="Header"/>
            <w:rPr>
              <w:rFonts w:ascii="Tahoma" w:hAnsi="Tahoma" w:cs="Tahoma"/>
              <w:b/>
              <w:sz w:val="20"/>
              <w:szCs w:val="20"/>
            </w:rPr>
          </w:pPr>
          <w:r w:rsidRPr="00BE435B">
            <w:rPr>
              <w:rFonts w:ascii="Tahoma" w:hAnsi="Tahoma" w:cs="Tahoma"/>
              <w:b/>
              <w:sz w:val="20"/>
              <w:szCs w:val="20"/>
            </w:rPr>
            <w:t>SECTION 5: NON-FORMULARY PROCESSES</w:t>
          </w:r>
        </w:p>
      </w:tc>
    </w:tr>
  </w:tbl>
  <w:p w14:paraId="113D13D1" w14:textId="77777777" w:rsidR="00915922" w:rsidRDefault="00915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83C"/>
    <w:multiLevelType w:val="hybridMultilevel"/>
    <w:tmpl w:val="125C923C"/>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07430"/>
    <w:multiLevelType w:val="hybridMultilevel"/>
    <w:tmpl w:val="19EE2F04"/>
    <w:lvl w:ilvl="0" w:tplc="46D255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55CCE"/>
    <w:multiLevelType w:val="hybridMultilevel"/>
    <w:tmpl w:val="358A3E06"/>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84366"/>
    <w:multiLevelType w:val="hybridMultilevel"/>
    <w:tmpl w:val="B87606B0"/>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84CF0"/>
    <w:multiLevelType w:val="hybridMultilevel"/>
    <w:tmpl w:val="A4BC3488"/>
    <w:lvl w:ilvl="0" w:tplc="986A9CB6">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43515"/>
    <w:multiLevelType w:val="hybridMultilevel"/>
    <w:tmpl w:val="3EFA5EEA"/>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78564C"/>
    <w:multiLevelType w:val="hybridMultilevel"/>
    <w:tmpl w:val="F0C8E5F4"/>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D9734C"/>
    <w:multiLevelType w:val="hybridMultilevel"/>
    <w:tmpl w:val="BA46831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3A97AA3"/>
    <w:multiLevelType w:val="hybridMultilevel"/>
    <w:tmpl w:val="0C489A94"/>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CB0BD1"/>
    <w:multiLevelType w:val="multilevel"/>
    <w:tmpl w:val="06FE9654"/>
    <w:lvl w:ilvl="0">
      <w:start w:val="1"/>
      <w:numFmt w:val="bullet"/>
      <w:lvlText w:val="-"/>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6AD2F86"/>
    <w:multiLevelType w:val="hybridMultilevel"/>
    <w:tmpl w:val="B0765692"/>
    <w:lvl w:ilvl="0" w:tplc="8A6497D4">
      <w:start w:val="1"/>
      <w:numFmt w:val="bullet"/>
      <w:lvlText w:val=""/>
      <w:lvlJc w:val="left"/>
      <w:pPr>
        <w:ind w:left="720" w:hanging="360"/>
      </w:pPr>
      <w:rPr>
        <w:rFonts w:ascii="Symbol" w:hAnsi="Symbol"/>
      </w:rPr>
    </w:lvl>
    <w:lvl w:ilvl="1" w:tplc="3CBA262E">
      <w:start w:val="1"/>
      <w:numFmt w:val="bullet"/>
      <w:lvlText w:val=""/>
      <w:lvlJc w:val="left"/>
      <w:pPr>
        <w:ind w:left="720" w:hanging="360"/>
      </w:pPr>
      <w:rPr>
        <w:rFonts w:ascii="Symbol" w:hAnsi="Symbol"/>
      </w:rPr>
    </w:lvl>
    <w:lvl w:ilvl="2" w:tplc="FA02C5D4">
      <w:start w:val="1"/>
      <w:numFmt w:val="bullet"/>
      <w:lvlText w:val=""/>
      <w:lvlJc w:val="left"/>
      <w:pPr>
        <w:ind w:left="720" w:hanging="360"/>
      </w:pPr>
      <w:rPr>
        <w:rFonts w:ascii="Symbol" w:hAnsi="Symbol"/>
      </w:rPr>
    </w:lvl>
    <w:lvl w:ilvl="3" w:tplc="EE5037B0">
      <w:start w:val="1"/>
      <w:numFmt w:val="bullet"/>
      <w:lvlText w:val=""/>
      <w:lvlJc w:val="left"/>
      <w:pPr>
        <w:ind w:left="720" w:hanging="360"/>
      </w:pPr>
      <w:rPr>
        <w:rFonts w:ascii="Symbol" w:hAnsi="Symbol"/>
      </w:rPr>
    </w:lvl>
    <w:lvl w:ilvl="4" w:tplc="E7125796">
      <w:start w:val="1"/>
      <w:numFmt w:val="bullet"/>
      <w:lvlText w:val=""/>
      <w:lvlJc w:val="left"/>
      <w:pPr>
        <w:ind w:left="720" w:hanging="360"/>
      </w:pPr>
      <w:rPr>
        <w:rFonts w:ascii="Symbol" w:hAnsi="Symbol"/>
      </w:rPr>
    </w:lvl>
    <w:lvl w:ilvl="5" w:tplc="70BE8AAE">
      <w:start w:val="1"/>
      <w:numFmt w:val="bullet"/>
      <w:lvlText w:val=""/>
      <w:lvlJc w:val="left"/>
      <w:pPr>
        <w:ind w:left="720" w:hanging="360"/>
      </w:pPr>
      <w:rPr>
        <w:rFonts w:ascii="Symbol" w:hAnsi="Symbol"/>
      </w:rPr>
    </w:lvl>
    <w:lvl w:ilvl="6" w:tplc="E0523A8C">
      <w:start w:val="1"/>
      <w:numFmt w:val="bullet"/>
      <w:lvlText w:val=""/>
      <w:lvlJc w:val="left"/>
      <w:pPr>
        <w:ind w:left="720" w:hanging="360"/>
      </w:pPr>
      <w:rPr>
        <w:rFonts w:ascii="Symbol" w:hAnsi="Symbol"/>
      </w:rPr>
    </w:lvl>
    <w:lvl w:ilvl="7" w:tplc="96B4DFB0">
      <w:start w:val="1"/>
      <w:numFmt w:val="bullet"/>
      <w:lvlText w:val=""/>
      <w:lvlJc w:val="left"/>
      <w:pPr>
        <w:ind w:left="720" w:hanging="360"/>
      </w:pPr>
      <w:rPr>
        <w:rFonts w:ascii="Symbol" w:hAnsi="Symbol"/>
      </w:rPr>
    </w:lvl>
    <w:lvl w:ilvl="8" w:tplc="E8CECA24">
      <w:start w:val="1"/>
      <w:numFmt w:val="bullet"/>
      <w:lvlText w:val=""/>
      <w:lvlJc w:val="left"/>
      <w:pPr>
        <w:ind w:left="720" w:hanging="360"/>
      </w:pPr>
      <w:rPr>
        <w:rFonts w:ascii="Symbol" w:hAnsi="Symbol"/>
      </w:rPr>
    </w:lvl>
  </w:abstractNum>
  <w:abstractNum w:abstractNumId="11" w15:restartNumberingAfterBreak="0">
    <w:nsid w:val="17F66BF7"/>
    <w:multiLevelType w:val="multilevel"/>
    <w:tmpl w:val="5B5A2784"/>
    <w:lvl w:ilvl="0">
      <w:start w:val="1"/>
      <w:numFmt w:val="decimal"/>
      <w:lvlText w:val="%1."/>
      <w:lvlJc w:val="left"/>
      <w:pPr>
        <w:tabs>
          <w:tab w:val="num" w:pos="360"/>
        </w:tabs>
        <w:ind w:left="360" w:hanging="360"/>
      </w:pPr>
      <w:rPr>
        <w:rFonts w:cs="Times New Roman"/>
        <w:b/>
        <w:color w:val="000080"/>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1E5B384B"/>
    <w:multiLevelType w:val="hybridMultilevel"/>
    <w:tmpl w:val="878A5778"/>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30973"/>
    <w:multiLevelType w:val="hybridMultilevel"/>
    <w:tmpl w:val="5A40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D2375"/>
    <w:multiLevelType w:val="hybridMultilevel"/>
    <w:tmpl w:val="D9040F86"/>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B21241"/>
    <w:multiLevelType w:val="hybridMultilevel"/>
    <w:tmpl w:val="D46A7906"/>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27392A"/>
    <w:multiLevelType w:val="hybridMultilevel"/>
    <w:tmpl w:val="A348B470"/>
    <w:lvl w:ilvl="0" w:tplc="9ED60ED2">
      <w:start w:val="1"/>
      <w:numFmt w:val="lowerLetter"/>
      <w:lvlText w:val="%1."/>
      <w:lvlJc w:val="left"/>
      <w:pPr>
        <w:tabs>
          <w:tab w:val="num" w:pos="720"/>
        </w:tabs>
        <w:ind w:left="720" w:hanging="360"/>
      </w:pPr>
      <w:rPr>
        <w:rFonts w:cs="Times New Roman" w:hint="default"/>
        <w:b/>
        <w:color w:val="00008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226C91"/>
    <w:multiLevelType w:val="hybridMultilevel"/>
    <w:tmpl w:val="7804CF66"/>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5E650D"/>
    <w:multiLevelType w:val="hybridMultilevel"/>
    <w:tmpl w:val="9996BA5C"/>
    <w:lvl w:ilvl="0" w:tplc="08090005">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BE510C"/>
    <w:multiLevelType w:val="hybridMultilevel"/>
    <w:tmpl w:val="2040BAC6"/>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735FC2"/>
    <w:multiLevelType w:val="multilevel"/>
    <w:tmpl w:val="9E8026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62834"/>
    <w:multiLevelType w:val="multilevel"/>
    <w:tmpl w:val="2D20A766"/>
    <w:lvl w:ilvl="0">
      <w:start w:val="4"/>
      <w:numFmt w:val="decimal"/>
      <w:lvlText w:val="%1."/>
      <w:lvlJc w:val="left"/>
      <w:pPr>
        <w:tabs>
          <w:tab w:val="num" w:pos="360"/>
        </w:tabs>
        <w:ind w:left="360" w:hanging="360"/>
      </w:pPr>
      <w:rPr>
        <w:rFonts w:cs="Times New Roman" w:hint="default"/>
        <w:b/>
        <w:color w:val="000080"/>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4111648F"/>
    <w:multiLevelType w:val="hybridMultilevel"/>
    <w:tmpl w:val="06FE9654"/>
    <w:lvl w:ilvl="0" w:tplc="29A2AE46">
      <w:start w:val="1"/>
      <w:numFmt w:val="bullet"/>
      <w:lvlText w:val="-"/>
      <w:lvlJc w:val="left"/>
      <w:pPr>
        <w:tabs>
          <w:tab w:val="num" w:pos="720"/>
        </w:tabs>
        <w:ind w:left="720" w:hanging="360"/>
      </w:pPr>
      <w:rPr>
        <w:rFonts w:ascii="Arial" w:hAnsi="Aria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93469B8"/>
    <w:multiLevelType w:val="hybridMultilevel"/>
    <w:tmpl w:val="1DF6DEDE"/>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99035B2"/>
    <w:multiLevelType w:val="hybridMultilevel"/>
    <w:tmpl w:val="6C1A9900"/>
    <w:lvl w:ilvl="0" w:tplc="08090005">
      <w:start w:val="1"/>
      <w:numFmt w:val="bullet"/>
      <w:lvlText w:val=""/>
      <w:lvlJc w:val="left"/>
      <w:pPr>
        <w:tabs>
          <w:tab w:val="num" w:pos="720"/>
        </w:tabs>
        <w:ind w:left="720" w:hanging="360"/>
      </w:pPr>
      <w:rPr>
        <w:rFonts w:ascii="Wingdings" w:hAnsi="Wingdings"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082227"/>
    <w:multiLevelType w:val="multilevel"/>
    <w:tmpl w:val="5B5A2784"/>
    <w:lvl w:ilvl="0">
      <w:start w:val="1"/>
      <w:numFmt w:val="decimal"/>
      <w:lvlText w:val="%1."/>
      <w:lvlJc w:val="left"/>
      <w:pPr>
        <w:tabs>
          <w:tab w:val="num" w:pos="360"/>
        </w:tabs>
        <w:ind w:left="360" w:hanging="360"/>
      </w:pPr>
      <w:rPr>
        <w:rFonts w:cs="Times New Roman"/>
        <w:b/>
        <w:color w:val="000080"/>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5AE601F6"/>
    <w:multiLevelType w:val="hybridMultilevel"/>
    <w:tmpl w:val="E698D772"/>
    <w:lvl w:ilvl="0" w:tplc="986A9CB6">
      <w:start w:val="1"/>
      <w:numFmt w:val="bullet"/>
      <w:lvlText w:val=""/>
      <w:lvlJc w:val="left"/>
      <w:pPr>
        <w:tabs>
          <w:tab w:val="num" w:pos="360"/>
        </w:tabs>
        <w:ind w:left="360" w:hanging="360"/>
      </w:pPr>
      <w:rPr>
        <w:rFonts w:ascii="Wingdings" w:hAnsi="Wingdings"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0960E2"/>
    <w:multiLevelType w:val="hybridMultilevel"/>
    <w:tmpl w:val="09F2F08C"/>
    <w:lvl w:ilvl="0" w:tplc="9E607188">
      <w:start w:val="1"/>
      <w:numFmt w:val="lowerLetter"/>
      <w:lvlText w:val="(%1)"/>
      <w:lvlJc w:val="left"/>
      <w:pPr>
        <w:tabs>
          <w:tab w:val="num" w:pos="360"/>
        </w:tabs>
        <w:ind w:left="360" w:hanging="360"/>
      </w:pPr>
      <w:rPr>
        <w:rFonts w:cs="Times New Roman" w:hint="default"/>
      </w:rPr>
    </w:lvl>
    <w:lvl w:ilvl="1" w:tplc="EB7204E2">
      <w:start w:val="1"/>
      <w:numFmt w:val="lowerLetter"/>
      <w:lvlText w:val="(%2)"/>
      <w:lvlJc w:val="left"/>
      <w:pPr>
        <w:tabs>
          <w:tab w:val="num" w:pos="1080"/>
        </w:tabs>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E0402C7"/>
    <w:multiLevelType w:val="hybridMultilevel"/>
    <w:tmpl w:val="7B922D0C"/>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87227"/>
    <w:multiLevelType w:val="hybridMultilevel"/>
    <w:tmpl w:val="3D02C7E4"/>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E512C9"/>
    <w:multiLevelType w:val="hybridMultilevel"/>
    <w:tmpl w:val="0792E7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E2409C"/>
    <w:multiLevelType w:val="hybridMultilevel"/>
    <w:tmpl w:val="A0102802"/>
    <w:lvl w:ilvl="0" w:tplc="08090005">
      <w:start w:val="1"/>
      <w:numFmt w:val="bullet"/>
      <w:lvlText w:val=""/>
      <w:lvlJc w:val="left"/>
      <w:pPr>
        <w:tabs>
          <w:tab w:val="num" w:pos="720"/>
        </w:tabs>
        <w:ind w:left="72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5526AC"/>
    <w:multiLevelType w:val="hybridMultilevel"/>
    <w:tmpl w:val="927ABF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DE031F"/>
    <w:multiLevelType w:val="hybridMultilevel"/>
    <w:tmpl w:val="FCB2C3D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C864C3"/>
    <w:multiLevelType w:val="hybridMultilevel"/>
    <w:tmpl w:val="19EE2F04"/>
    <w:lvl w:ilvl="0" w:tplc="46D255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680CEF"/>
    <w:multiLevelType w:val="hybridMultilevel"/>
    <w:tmpl w:val="AC523390"/>
    <w:lvl w:ilvl="0" w:tplc="29A2AE46">
      <w:start w:val="1"/>
      <w:numFmt w:val="bullet"/>
      <w:lvlText w:val="-"/>
      <w:lvlJc w:val="left"/>
      <w:pPr>
        <w:tabs>
          <w:tab w:val="num" w:pos="422"/>
        </w:tabs>
        <w:ind w:left="422" w:hanging="360"/>
      </w:pPr>
      <w:rPr>
        <w:rFonts w:ascii="Arial" w:hAnsi="Aria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36" w15:restartNumberingAfterBreak="0">
    <w:nsid w:val="764B5BE4"/>
    <w:multiLevelType w:val="hybridMultilevel"/>
    <w:tmpl w:val="0D6A0C74"/>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540459"/>
    <w:multiLevelType w:val="hybridMultilevel"/>
    <w:tmpl w:val="114AB374"/>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E87E49"/>
    <w:multiLevelType w:val="hybridMultilevel"/>
    <w:tmpl w:val="2ADECF88"/>
    <w:lvl w:ilvl="0" w:tplc="986A9CB6">
      <w:start w:val="1"/>
      <w:numFmt w:val="bullet"/>
      <w:lvlText w:val=""/>
      <w:lvlJc w:val="left"/>
      <w:pPr>
        <w:tabs>
          <w:tab w:val="num" w:pos="421"/>
        </w:tabs>
        <w:ind w:left="421" w:hanging="360"/>
      </w:pPr>
      <w:rPr>
        <w:rFonts w:ascii="Wingdings" w:hAnsi="Wingdings" w:hint="default"/>
      </w:rPr>
    </w:lvl>
    <w:lvl w:ilvl="1" w:tplc="08090003" w:tentative="1">
      <w:start w:val="1"/>
      <w:numFmt w:val="bullet"/>
      <w:lvlText w:val="o"/>
      <w:lvlJc w:val="left"/>
      <w:pPr>
        <w:tabs>
          <w:tab w:val="num" w:pos="1501"/>
        </w:tabs>
        <w:ind w:left="1501" w:hanging="360"/>
      </w:pPr>
      <w:rPr>
        <w:rFonts w:ascii="Courier New" w:hAnsi="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39" w15:restartNumberingAfterBreak="0">
    <w:nsid w:val="7B716B2E"/>
    <w:multiLevelType w:val="hybridMultilevel"/>
    <w:tmpl w:val="339A0684"/>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1347FC"/>
    <w:multiLevelType w:val="hybridMultilevel"/>
    <w:tmpl w:val="AA2AA07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F4A170D"/>
    <w:multiLevelType w:val="hybridMultilevel"/>
    <w:tmpl w:val="ED34AD3E"/>
    <w:lvl w:ilvl="0" w:tplc="08090005">
      <w:start w:val="1"/>
      <w:numFmt w:val="bullet"/>
      <w:lvlText w:val=""/>
      <w:lvlJc w:val="left"/>
      <w:pPr>
        <w:tabs>
          <w:tab w:val="num" w:pos="360"/>
        </w:tabs>
        <w:ind w:left="360" w:hanging="360"/>
      </w:pPr>
      <w:rPr>
        <w:rFonts w:ascii="Wingdings" w:hAnsi="Wingdings" w:hint="default"/>
      </w:rPr>
    </w:lvl>
    <w:lvl w:ilvl="1" w:tplc="0809000F">
      <w:start w:val="1"/>
      <w:numFmt w:val="decimal"/>
      <w:lvlText w:val="%2."/>
      <w:lvlJc w:val="left"/>
      <w:pPr>
        <w:tabs>
          <w:tab w:val="num" w:pos="1080"/>
        </w:tabs>
        <w:ind w:left="1080" w:hanging="360"/>
      </w:pPr>
      <w:rPr>
        <w:rFonts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14189542">
    <w:abstractNumId w:val="25"/>
  </w:num>
  <w:num w:numId="2" w16cid:durableId="116484657">
    <w:abstractNumId w:val="16"/>
  </w:num>
  <w:num w:numId="3" w16cid:durableId="1370103493">
    <w:abstractNumId w:val="15"/>
  </w:num>
  <w:num w:numId="4" w16cid:durableId="564142416">
    <w:abstractNumId w:val="23"/>
  </w:num>
  <w:num w:numId="5" w16cid:durableId="1232234842">
    <w:abstractNumId w:val="17"/>
  </w:num>
  <w:num w:numId="6" w16cid:durableId="1018847310">
    <w:abstractNumId w:val="31"/>
  </w:num>
  <w:num w:numId="7" w16cid:durableId="1907714776">
    <w:abstractNumId w:val="40"/>
  </w:num>
  <w:num w:numId="8" w16cid:durableId="1614088736">
    <w:abstractNumId w:val="33"/>
  </w:num>
  <w:num w:numId="9" w16cid:durableId="24907516">
    <w:abstractNumId w:val="41"/>
  </w:num>
  <w:num w:numId="10" w16cid:durableId="615872951">
    <w:abstractNumId w:val="35"/>
  </w:num>
  <w:num w:numId="11" w16cid:durableId="2008091318">
    <w:abstractNumId w:val="22"/>
  </w:num>
  <w:num w:numId="12" w16cid:durableId="1541167459">
    <w:abstractNumId w:val="9"/>
  </w:num>
  <w:num w:numId="13" w16cid:durableId="1775977005">
    <w:abstractNumId w:val="5"/>
  </w:num>
  <w:num w:numId="14" w16cid:durableId="856194896">
    <w:abstractNumId w:val="24"/>
  </w:num>
  <w:num w:numId="15" w16cid:durableId="28460576">
    <w:abstractNumId w:val="7"/>
  </w:num>
  <w:num w:numId="16" w16cid:durableId="1316254431">
    <w:abstractNumId w:val="18"/>
  </w:num>
  <w:num w:numId="17" w16cid:durableId="541138295">
    <w:abstractNumId w:val="11"/>
  </w:num>
  <w:num w:numId="18" w16cid:durableId="726801533">
    <w:abstractNumId w:val="27"/>
  </w:num>
  <w:num w:numId="19" w16cid:durableId="30884890">
    <w:abstractNumId w:val="36"/>
  </w:num>
  <w:num w:numId="20" w16cid:durableId="2023433698">
    <w:abstractNumId w:val="6"/>
  </w:num>
  <w:num w:numId="21" w16cid:durableId="16084487">
    <w:abstractNumId w:val="26"/>
  </w:num>
  <w:num w:numId="22" w16cid:durableId="224728714">
    <w:abstractNumId w:val="14"/>
  </w:num>
  <w:num w:numId="23" w16cid:durableId="555356840">
    <w:abstractNumId w:val="37"/>
  </w:num>
  <w:num w:numId="24" w16cid:durableId="1578981637">
    <w:abstractNumId w:val="38"/>
  </w:num>
  <w:num w:numId="25" w16cid:durableId="1010641895">
    <w:abstractNumId w:val="4"/>
  </w:num>
  <w:num w:numId="26" w16cid:durableId="1703358956">
    <w:abstractNumId w:val="29"/>
  </w:num>
  <w:num w:numId="27" w16cid:durableId="1768884471">
    <w:abstractNumId w:val="2"/>
  </w:num>
  <w:num w:numId="28" w16cid:durableId="2053262748">
    <w:abstractNumId w:val="3"/>
  </w:num>
  <w:num w:numId="29" w16cid:durableId="463155240">
    <w:abstractNumId w:val="0"/>
  </w:num>
  <w:num w:numId="30" w16cid:durableId="330135146">
    <w:abstractNumId w:val="19"/>
  </w:num>
  <w:num w:numId="31" w16cid:durableId="957834890">
    <w:abstractNumId w:val="39"/>
  </w:num>
  <w:num w:numId="32" w16cid:durableId="317612516">
    <w:abstractNumId w:val="12"/>
  </w:num>
  <w:num w:numId="33" w16cid:durableId="1129712651">
    <w:abstractNumId w:val="8"/>
  </w:num>
  <w:num w:numId="34" w16cid:durableId="116141497">
    <w:abstractNumId w:val="28"/>
  </w:num>
  <w:num w:numId="35" w16cid:durableId="785733852">
    <w:abstractNumId w:val="21"/>
  </w:num>
  <w:num w:numId="36" w16cid:durableId="283389442">
    <w:abstractNumId w:val="30"/>
  </w:num>
  <w:num w:numId="37" w16cid:durableId="1782333006">
    <w:abstractNumId w:val="20"/>
  </w:num>
  <w:num w:numId="38" w16cid:durableId="1708066847">
    <w:abstractNumId w:val="13"/>
  </w:num>
  <w:num w:numId="39" w16cid:durableId="1291860215">
    <w:abstractNumId w:val="32"/>
  </w:num>
  <w:num w:numId="40" w16cid:durableId="1206136346">
    <w:abstractNumId w:val="1"/>
  </w:num>
  <w:num w:numId="41" w16cid:durableId="465976759">
    <w:abstractNumId w:val="34"/>
  </w:num>
  <w:num w:numId="42" w16cid:durableId="61625529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05"/>
    <w:rsid w:val="000301B6"/>
    <w:rsid w:val="000531CE"/>
    <w:rsid w:val="00082F8B"/>
    <w:rsid w:val="00091A46"/>
    <w:rsid w:val="00092BA3"/>
    <w:rsid w:val="000A2929"/>
    <w:rsid w:val="000B547E"/>
    <w:rsid w:val="000B6111"/>
    <w:rsid w:val="000B72D8"/>
    <w:rsid w:val="000C1EF8"/>
    <w:rsid w:val="000C4262"/>
    <w:rsid w:val="000D7587"/>
    <w:rsid w:val="000E0EA7"/>
    <w:rsid w:val="000E14C7"/>
    <w:rsid w:val="000E3A89"/>
    <w:rsid w:val="000E561A"/>
    <w:rsid w:val="000F3459"/>
    <w:rsid w:val="00105CC4"/>
    <w:rsid w:val="00107323"/>
    <w:rsid w:val="0012519E"/>
    <w:rsid w:val="001261E4"/>
    <w:rsid w:val="00135390"/>
    <w:rsid w:val="00141C1E"/>
    <w:rsid w:val="00142B37"/>
    <w:rsid w:val="00155D54"/>
    <w:rsid w:val="00161E96"/>
    <w:rsid w:val="001779C2"/>
    <w:rsid w:val="00186549"/>
    <w:rsid w:val="00190894"/>
    <w:rsid w:val="001A5565"/>
    <w:rsid w:val="001A5C95"/>
    <w:rsid w:val="001B4F09"/>
    <w:rsid w:val="001B6B8B"/>
    <w:rsid w:val="001C5D02"/>
    <w:rsid w:val="001D626F"/>
    <w:rsid w:val="001E01E9"/>
    <w:rsid w:val="001E7675"/>
    <w:rsid w:val="001F5C5E"/>
    <w:rsid w:val="00202FB4"/>
    <w:rsid w:val="00203A97"/>
    <w:rsid w:val="00225B3A"/>
    <w:rsid w:val="002316AC"/>
    <w:rsid w:val="00235C53"/>
    <w:rsid w:val="00237A4A"/>
    <w:rsid w:val="00257D17"/>
    <w:rsid w:val="002619F3"/>
    <w:rsid w:val="002649D5"/>
    <w:rsid w:val="00266E74"/>
    <w:rsid w:val="00267839"/>
    <w:rsid w:val="00285A87"/>
    <w:rsid w:val="00285D7E"/>
    <w:rsid w:val="00286D90"/>
    <w:rsid w:val="00296387"/>
    <w:rsid w:val="00296D5E"/>
    <w:rsid w:val="00297E89"/>
    <w:rsid w:val="002A4909"/>
    <w:rsid w:val="002A4A59"/>
    <w:rsid w:val="002B7141"/>
    <w:rsid w:val="002D282E"/>
    <w:rsid w:val="002D2FAB"/>
    <w:rsid w:val="002E5E21"/>
    <w:rsid w:val="002F5726"/>
    <w:rsid w:val="002F7DFA"/>
    <w:rsid w:val="00313AB6"/>
    <w:rsid w:val="00313B0C"/>
    <w:rsid w:val="00317790"/>
    <w:rsid w:val="00327B61"/>
    <w:rsid w:val="003366F8"/>
    <w:rsid w:val="003378E0"/>
    <w:rsid w:val="0034672E"/>
    <w:rsid w:val="00357557"/>
    <w:rsid w:val="00384D26"/>
    <w:rsid w:val="003A1F53"/>
    <w:rsid w:val="003D60DB"/>
    <w:rsid w:val="00401899"/>
    <w:rsid w:val="00423204"/>
    <w:rsid w:val="004270CD"/>
    <w:rsid w:val="0042752C"/>
    <w:rsid w:val="004469BE"/>
    <w:rsid w:val="00452B60"/>
    <w:rsid w:val="00462977"/>
    <w:rsid w:val="004759A4"/>
    <w:rsid w:val="00482556"/>
    <w:rsid w:val="00485229"/>
    <w:rsid w:val="004A0199"/>
    <w:rsid w:val="004B17EC"/>
    <w:rsid w:val="004C0DDE"/>
    <w:rsid w:val="004D5186"/>
    <w:rsid w:val="004D6BE7"/>
    <w:rsid w:val="004F6464"/>
    <w:rsid w:val="00507E39"/>
    <w:rsid w:val="00511E4B"/>
    <w:rsid w:val="00524471"/>
    <w:rsid w:val="005276AF"/>
    <w:rsid w:val="0053179E"/>
    <w:rsid w:val="005340E2"/>
    <w:rsid w:val="00534448"/>
    <w:rsid w:val="005512F3"/>
    <w:rsid w:val="0055454F"/>
    <w:rsid w:val="005666A8"/>
    <w:rsid w:val="00575A46"/>
    <w:rsid w:val="00581D95"/>
    <w:rsid w:val="00582AEF"/>
    <w:rsid w:val="00590348"/>
    <w:rsid w:val="00597CC5"/>
    <w:rsid w:val="005B1EAC"/>
    <w:rsid w:val="005E3B5D"/>
    <w:rsid w:val="005F6EDE"/>
    <w:rsid w:val="0062304F"/>
    <w:rsid w:val="006244DF"/>
    <w:rsid w:val="006352AA"/>
    <w:rsid w:val="006478E7"/>
    <w:rsid w:val="00657B07"/>
    <w:rsid w:val="006662CE"/>
    <w:rsid w:val="0067245A"/>
    <w:rsid w:val="00692403"/>
    <w:rsid w:val="006A4BAB"/>
    <w:rsid w:val="006B2836"/>
    <w:rsid w:val="006B698A"/>
    <w:rsid w:val="006C09CD"/>
    <w:rsid w:val="006E7F6C"/>
    <w:rsid w:val="006F2D0A"/>
    <w:rsid w:val="00700316"/>
    <w:rsid w:val="00700A05"/>
    <w:rsid w:val="0070610F"/>
    <w:rsid w:val="00717975"/>
    <w:rsid w:val="00717E11"/>
    <w:rsid w:val="007219CE"/>
    <w:rsid w:val="007231FF"/>
    <w:rsid w:val="00733780"/>
    <w:rsid w:val="00737032"/>
    <w:rsid w:val="007426F8"/>
    <w:rsid w:val="00796BC9"/>
    <w:rsid w:val="007A32AB"/>
    <w:rsid w:val="007A33C9"/>
    <w:rsid w:val="007A4776"/>
    <w:rsid w:val="007D0128"/>
    <w:rsid w:val="007D06A4"/>
    <w:rsid w:val="007D3D64"/>
    <w:rsid w:val="007D44DB"/>
    <w:rsid w:val="007E2182"/>
    <w:rsid w:val="007F72AF"/>
    <w:rsid w:val="007F7A42"/>
    <w:rsid w:val="0080333A"/>
    <w:rsid w:val="00815FF4"/>
    <w:rsid w:val="00816706"/>
    <w:rsid w:val="008261FC"/>
    <w:rsid w:val="0082682B"/>
    <w:rsid w:val="0083163B"/>
    <w:rsid w:val="00851E8F"/>
    <w:rsid w:val="008571BC"/>
    <w:rsid w:val="00874F91"/>
    <w:rsid w:val="00876CEC"/>
    <w:rsid w:val="00886EF3"/>
    <w:rsid w:val="0089110A"/>
    <w:rsid w:val="00891B9B"/>
    <w:rsid w:val="0089340A"/>
    <w:rsid w:val="008A659B"/>
    <w:rsid w:val="008B2025"/>
    <w:rsid w:val="008B6FD9"/>
    <w:rsid w:val="008D6E31"/>
    <w:rsid w:val="008F0EAE"/>
    <w:rsid w:val="008F6653"/>
    <w:rsid w:val="00903727"/>
    <w:rsid w:val="00904305"/>
    <w:rsid w:val="009073FC"/>
    <w:rsid w:val="00913EA6"/>
    <w:rsid w:val="00915922"/>
    <w:rsid w:val="00922ECD"/>
    <w:rsid w:val="00924BAD"/>
    <w:rsid w:val="009400B2"/>
    <w:rsid w:val="00963FE7"/>
    <w:rsid w:val="009705DD"/>
    <w:rsid w:val="009775E5"/>
    <w:rsid w:val="00987702"/>
    <w:rsid w:val="00987818"/>
    <w:rsid w:val="009C0FEE"/>
    <w:rsid w:val="009C20DE"/>
    <w:rsid w:val="009F6BBE"/>
    <w:rsid w:val="00A179E8"/>
    <w:rsid w:val="00A26956"/>
    <w:rsid w:val="00A353F3"/>
    <w:rsid w:val="00A42379"/>
    <w:rsid w:val="00A47766"/>
    <w:rsid w:val="00A51226"/>
    <w:rsid w:val="00A6449D"/>
    <w:rsid w:val="00A734B6"/>
    <w:rsid w:val="00A76B5A"/>
    <w:rsid w:val="00A76C02"/>
    <w:rsid w:val="00A86692"/>
    <w:rsid w:val="00A92277"/>
    <w:rsid w:val="00AC3492"/>
    <w:rsid w:val="00AD3D91"/>
    <w:rsid w:val="00AE0002"/>
    <w:rsid w:val="00B16B76"/>
    <w:rsid w:val="00B35159"/>
    <w:rsid w:val="00B353CC"/>
    <w:rsid w:val="00B3556F"/>
    <w:rsid w:val="00B41033"/>
    <w:rsid w:val="00B4177C"/>
    <w:rsid w:val="00B809EE"/>
    <w:rsid w:val="00B815B1"/>
    <w:rsid w:val="00B84364"/>
    <w:rsid w:val="00B91360"/>
    <w:rsid w:val="00B969C9"/>
    <w:rsid w:val="00BA02C1"/>
    <w:rsid w:val="00BA09C3"/>
    <w:rsid w:val="00BA5195"/>
    <w:rsid w:val="00BB350B"/>
    <w:rsid w:val="00BB3931"/>
    <w:rsid w:val="00BC1062"/>
    <w:rsid w:val="00BC3039"/>
    <w:rsid w:val="00BE2D88"/>
    <w:rsid w:val="00BE435B"/>
    <w:rsid w:val="00BF0626"/>
    <w:rsid w:val="00BF44D9"/>
    <w:rsid w:val="00C0357B"/>
    <w:rsid w:val="00C06A78"/>
    <w:rsid w:val="00C1470A"/>
    <w:rsid w:val="00C30BCF"/>
    <w:rsid w:val="00C53AAF"/>
    <w:rsid w:val="00C62CFA"/>
    <w:rsid w:val="00C73914"/>
    <w:rsid w:val="00C97C80"/>
    <w:rsid w:val="00CA585C"/>
    <w:rsid w:val="00CB5DB0"/>
    <w:rsid w:val="00CB6FFA"/>
    <w:rsid w:val="00CD4247"/>
    <w:rsid w:val="00CD44FD"/>
    <w:rsid w:val="00CD4C4E"/>
    <w:rsid w:val="00CD7F89"/>
    <w:rsid w:val="00CE0CCF"/>
    <w:rsid w:val="00CE4829"/>
    <w:rsid w:val="00CF0A05"/>
    <w:rsid w:val="00D0022F"/>
    <w:rsid w:val="00D004E5"/>
    <w:rsid w:val="00D11A8C"/>
    <w:rsid w:val="00D20274"/>
    <w:rsid w:val="00D20BF6"/>
    <w:rsid w:val="00D23305"/>
    <w:rsid w:val="00D3271F"/>
    <w:rsid w:val="00D3346C"/>
    <w:rsid w:val="00D34A3B"/>
    <w:rsid w:val="00D438E5"/>
    <w:rsid w:val="00D44461"/>
    <w:rsid w:val="00D70B18"/>
    <w:rsid w:val="00D76B78"/>
    <w:rsid w:val="00D82CD4"/>
    <w:rsid w:val="00D8571D"/>
    <w:rsid w:val="00DA0D5F"/>
    <w:rsid w:val="00DA4C8D"/>
    <w:rsid w:val="00DB2CD5"/>
    <w:rsid w:val="00DB4074"/>
    <w:rsid w:val="00DB6EF8"/>
    <w:rsid w:val="00DC38A6"/>
    <w:rsid w:val="00DC5E9F"/>
    <w:rsid w:val="00DE1AD1"/>
    <w:rsid w:val="00DF4B19"/>
    <w:rsid w:val="00E02BEF"/>
    <w:rsid w:val="00E06D34"/>
    <w:rsid w:val="00E1518C"/>
    <w:rsid w:val="00E174C4"/>
    <w:rsid w:val="00E431E8"/>
    <w:rsid w:val="00E5410C"/>
    <w:rsid w:val="00E542F8"/>
    <w:rsid w:val="00E775E1"/>
    <w:rsid w:val="00E83460"/>
    <w:rsid w:val="00E870B8"/>
    <w:rsid w:val="00E95051"/>
    <w:rsid w:val="00EB7430"/>
    <w:rsid w:val="00EC2AA5"/>
    <w:rsid w:val="00EC45CE"/>
    <w:rsid w:val="00ED6DAC"/>
    <w:rsid w:val="00EE103B"/>
    <w:rsid w:val="00EF357B"/>
    <w:rsid w:val="00EF5512"/>
    <w:rsid w:val="00F1675E"/>
    <w:rsid w:val="00F20DDA"/>
    <w:rsid w:val="00F24BD8"/>
    <w:rsid w:val="00F31538"/>
    <w:rsid w:val="00F4357B"/>
    <w:rsid w:val="00F4677A"/>
    <w:rsid w:val="00F472B9"/>
    <w:rsid w:val="00F4794E"/>
    <w:rsid w:val="00F51E76"/>
    <w:rsid w:val="00F55852"/>
    <w:rsid w:val="00F60268"/>
    <w:rsid w:val="00F60761"/>
    <w:rsid w:val="00F71235"/>
    <w:rsid w:val="00F72C79"/>
    <w:rsid w:val="00F72D89"/>
    <w:rsid w:val="00F91694"/>
    <w:rsid w:val="00F962CA"/>
    <w:rsid w:val="00F97D80"/>
    <w:rsid w:val="00FA31FA"/>
    <w:rsid w:val="00FB253C"/>
    <w:rsid w:val="00FC3D10"/>
    <w:rsid w:val="00FE0F14"/>
    <w:rsid w:val="00FE16AE"/>
    <w:rsid w:val="00FF5B56"/>
    <w:rsid w:val="07872315"/>
    <w:rsid w:val="09895786"/>
    <w:rsid w:val="09ED00C2"/>
    <w:rsid w:val="16411D58"/>
    <w:rsid w:val="30147A5F"/>
    <w:rsid w:val="375405F7"/>
    <w:rsid w:val="46ACD7B5"/>
    <w:rsid w:val="49EB5C57"/>
    <w:rsid w:val="4B8ED281"/>
    <w:rsid w:val="4CA06226"/>
    <w:rsid w:val="4D969F12"/>
    <w:rsid w:val="69557591"/>
    <w:rsid w:val="6CBA8674"/>
    <w:rsid w:val="700B383E"/>
    <w:rsid w:val="7B8CE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13D1334"/>
  <w15:docId w15:val="{16835132-29BF-4818-B91D-DF229D2B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B3A"/>
    <w:rPr>
      <w:sz w:val="24"/>
      <w:szCs w:val="24"/>
    </w:rPr>
  </w:style>
  <w:style w:type="paragraph" w:styleId="Heading1">
    <w:name w:val="heading 1"/>
    <w:basedOn w:val="Normal"/>
    <w:next w:val="Normal"/>
    <w:qFormat/>
    <w:rsid w:val="000B61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6111"/>
    <w:pPr>
      <w:keepNext/>
      <w:outlineLvl w:val="1"/>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A05"/>
    <w:pPr>
      <w:tabs>
        <w:tab w:val="center" w:pos="4153"/>
        <w:tab w:val="right" w:pos="8306"/>
      </w:tabs>
    </w:pPr>
  </w:style>
  <w:style w:type="paragraph" w:styleId="Footer">
    <w:name w:val="footer"/>
    <w:basedOn w:val="Normal"/>
    <w:link w:val="FooterChar"/>
    <w:uiPriority w:val="99"/>
    <w:rsid w:val="00CF0A05"/>
    <w:pPr>
      <w:tabs>
        <w:tab w:val="center" w:pos="4153"/>
        <w:tab w:val="right" w:pos="8306"/>
      </w:tabs>
    </w:pPr>
  </w:style>
  <w:style w:type="table" w:styleId="TableGrid">
    <w:name w:val="Table Grid"/>
    <w:basedOn w:val="TableNormal"/>
    <w:rsid w:val="00CF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CF0A05"/>
    <w:rPr>
      <w:rFonts w:cs="Times New Roman"/>
    </w:rPr>
  </w:style>
  <w:style w:type="paragraph" w:styleId="BodyText">
    <w:name w:val="Body Text"/>
    <w:basedOn w:val="Normal"/>
    <w:rsid w:val="00F24BD8"/>
    <w:pPr>
      <w:jc w:val="center"/>
    </w:pPr>
    <w:rPr>
      <w:b/>
      <w:szCs w:val="20"/>
      <w:lang w:eastAsia="en-US"/>
    </w:rPr>
  </w:style>
  <w:style w:type="character" w:styleId="Hyperlink">
    <w:name w:val="Hyperlink"/>
    <w:basedOn w:val="DefaultParagraphFont"/>
    <w:rsid w:val="00F24BD8"/>
    <w:rPr>
      <w:rFonts w:cs="Times New Roman"/>
      <w:color w:val="0000FF"/>
      <w:u w:val="single"/>
    </w:rPr>
  </w:style>
  <w:style w:type="paragraph" w:styleId="Title">
    <w:name w:val="Title"/>
    <w:basedOn w:val="Normal"/>
    <w:qFormat/>
    <w:rsid w:val="000B6111"/>
    <w:pPr>
      <w:jc w:val="center"/>
    </w:pPr>
    <w:rPr>
      <w:b/>
      <w:bCs/>
      <w:sz w:val="36"/>
      <w:u w:val="single"/>
      <w:lang w:eastAsia="en-US"/>
    </w:rPr>
  </w:style>
  <w:style w:type="paragraph" w:styleId="CommentText">
    <w:name w:val="annotation text"/>
    <w:basedOn w:val="Normal"/>
    <w:semiHidden/>
    <w:rsid w:val="00267839"/>
    <w:rPr>
      <w:sz w:val="20"/>
      <w:szCs w:val="20"/>
    </w:rPr>
  </w:style>
  <w:style w:type="character" w:styleId="CommentReference">
    <w:name w:val="annotation reference"/>
    <w:basedOn w:val="DefaultParagraphFont"/>
    <w:semiHidden/>
    <w:rsid w:val="00267839"/>
    <w:rPr>
      <w:rFonts w:cs="Times New Roman"/>
      <w:sz w:val="16"/>
      <w:szCs w:val="16"/>
    </w:rPr>
  </w:style>
  <w:style w:type="paragraph" w:styleId="BalloonText">
    <w:name w:val="Balloon Text"/>
    <w:basedOn w:val="Normal"/>
    <w:semiHidden/>
    <w:rsid w:val="00267839"/>
    <w:rPr>
      <w:rFonts w:ascii="Tahoma" w:hAnsi="Tahoma" w:cs="Tahoma"/>
      <w:sz w:val="16"/>
      <w:szCs w:val="16"/>
    </w:rPr>
  </w:style>
  <w:style w:type="paragraph" w:styleId="CommentSubject">
    <w:name w:val="annotation subject"/>
    <w:basedOn w:val="CommentText"/>
    <w:next w:val="CommentText"/>
    <w:semiHidden/>
    <w:rsid w:val="00267839"/>
    <w:rPr>
      <w:b/>
      <w:bCs/>
    </w:rPr>
  </w:style>
  <w:style w:type="paragraph" w:styleId="TOC1">
    <w:name w:val="toc 1"/>
    <w:basedOn w:val="Normal"/>
    <w:next w:val="Normal"/>
    <w:autoRedefine/>
    <w:semiHidden/>
    <w:rsid w:val="0055454F"/>
    <w:rPr>
      <w:rFonts w:ascii="Tahoma" w:hAnsi="Tahoma"/>
      <w:bCs/>
      <w:smallCaps/>
      <w:sz w:val="20"/>
      <w:szCs w:val="22"/>
    </w:rPr>
  </w:style>
  <w:style w:type="paragraph" w:styleId="TOC2">
    <w:name w:val="toc 2"/>
    <w:basedOn w:val="Normal"/>
    <w:next w:val="Normal"/>
    <w:autoRedefine/>
    <w:semiHidden/>
    <w:rsid w:val="0055454F"/>
    <w:pPr>
      <w:ind w:left="567"/>
    </w:pPr>
    <w:rPr>
      <w:rFonts w:ascii="Tahoma" w:hAnsi="Tahoma"/>
      <w:bCs/>
      <w:i/>
      <w:sz w:val="20"/>
      <w:szCs w:val="22"/>
    </w:rPr>
  </w:style>
  <w:style w:type="paragraph" w:styleId="TOC3">
    <w:name w:val="toc 3"/>
    <w:basedOn w:val="Normal"/>
    <w:next w:val="Normal"/>
    <w:autoRedefine/>
    <w:semiHidden/>
    <w:rsid w:val="00E174C4"/>
    <w:rPr>
      <w:smallCaps/>
      <w:sz w:val="22"/>
      <w:szCs w:val="22"/>
    </w:rPr>
  </w:style>
  <w:style w:type="paragraph" w:styleId="TOC4">
    <w:name w:val="toc 4"/>
    <w:basedOn w:val="Normal"/>
    <w:next w:val="Normal"/>
    <w:autoRedefine/>
    <w:semiHidden/>
    <w:rsid w:val="00E174C4"/>
    <w:rPr>
      <w:sz w:val="22"/>
      <w:szCs w:val="22"/>
    </w:rPr>
  </w:style>
  <w:style w:type="paragraph" w:styleId="TOC5">
    <w:name w:val="toc 5"/>
    <w:basedOn w:val="Normal"/>
    <w:next w:val="Normal"/>
    <w:autoRedefine/>
    <w:semiHidden/>
    <w:rsid w:val="00E174C4"/>
    <w:rPr>
      <w:sz w:val="22"/>
      <w:szCs w:val="22"/>
    </w:rPr>
  </w:style>
  <w:style w:type="paragraph" w:styleId="TOC6">
    <w:name w:val="toc 6"/>
    <w:basedOn w:val="Normal"/>
    <w:next w:val="Normal"/>
    <w:autoRedefine/>
    <w:semiHidden/>
    <w:rsid w:val="00E174C4"/>
    <w:rPr>
      <w:sz w:val="22"/>
      <w:szCs w:val="22"/>
    </w:rPr>
  </w:style>
  <w:style w:type="paragraph" w:styleId="TOC7">
    <w:name w:val="toc 7"/>
    <w:basedOn w:val="Normal"/>
    <w:next w:val="Normal"/>
    <w:autoRedefine/>
    <w:semiHidden/>
    <w:rsid w:val="00E174C4"/>
    <w:rPr>
      <w:sz w:val="22"/>
      <w:szCs w:val="22"/>
    </w:rPr>
  </w:style>
  <w:style w:type="paragraph" w:styleId="TOC8">
    <w:name w:val="toc 8"/>
    <w:basedOn w:val="Normal"/>
    <w:next w:val="Normal"/>
    <w:autoRedefine/>
    <w:semiHidden/>
    <w:rsid w:val="00E174C4"/>
    <w:rPr>
      <w:sz w:val="22"/>
      <w:szCs w:val="22"/>
    </w:rPr>
  </w:style>
  <w:style w:type="paragraph" w:styleId="TOC9">
    <w:name w:val="toc 9"/>
    <w:basedOn w:val="Normal"/>
    <w:next w:val="Normal"/>
    <w:autoRedefine/>
    <w:semiHidden/>
    <w:rsid w:val="00E174C4"/>
    <w:rPr>
      <w:sz w:val="22"/>
      <w:szCs w:val="22"/>
    </w:rPr>
  </w:style>
  <w:style w:type="character" w:customStyle="1" w:styleId="FooterChar">
    <w:name w:val="Footer Char"/>
    <w:basedOn w:val="DefaultParagraphFont"/>
    <w:link w:val="Footer"/>
    <w:uiPriority w:val="99"/>
    <w:locked/>
    <w:rsid w:val="00D20BF6"/>
    <w:rPr>
      <w:sz w:val="24"/>
      <w:szCs w:val="24"/>
    </w:rPr>
  </w:style>
  <w:style w:type="paragraph" w:customStyle="1" w:styleId="paragraph">
    <w:name w:val="paragraph"/>
    <w:basedOn w:val="Normal"/>
    <w:rsid w:val="00D438E5"/>
    <w:pPr>
      <w:spacing w:before="100" w:beforeAutospacing="1" w:after="100" w:afterAutospacing="1"/>
    </w:pPr>
  </w:style>
  <w:style w:type="character" w:customStyle="1" w:styleId="normaltextrun">
    <w:name w:val="normaltextrun"/>
    <w:basedOn w:val="DefaultParagraphFont"/>
    <w:rsid w:val="00D438E5"/>
  </w:style>
  <w:style w:type="character" w:customStyle="1" w:styleId="eop">
    <w:name w:val="eop"/>
    <w:basedOn w:val="DefaultParagraphFont"/>
    <w:rsid w:val="00D438E5"/>
  </w:style>
  <w:style w:type="paragraph" w:styleId="ListParagraph">
    <w:name w:val="List Paragraph"/>
    <w:basedOn w:val="Normal"/>
    <w:uiPriority w:val="34"/>
    <w:qFormat/>
    <w:rsid w:val="00D438E5"/>
    <w:pPr>
      <w:ind w:left="720"/>
      <w:contextualSpacing/>
    </w:pPr>
  </w:style>
  <w:style w:type="paragraph" w:styleId="Revision">
    <w:name w:val="Revision"/>
    <w:hidden/>
    <w:uiPriority w:val="99"/>
    <w:semiHidden/>
    <w:rsid w:val="00A76B5A"/>
    <w:rPr>
      <w:sz w:val="24"/>
      <w:szCs w:val="24"/>
    </w:rPr>
  </w:style>
  <w:style w:type="character" w:styleId="UnresolvedMention">
    <w:name w:val="Unresolved Mention"/>
    <w:basedOn w:val="DefaultParagraphFont"/>
    <w:uiPriority w:val="99"/>
    <w:semiHidden/>
    <w:unhideWhenUsed/>
    <w:rsid w:val="00107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blications.scot.nhs.uk/files/cmo-2011-0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gcmedicines.org.uk/media/u4fbhgwd/5-5-eform_iptr_appeal_-_final-dec-25-protected.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23" ma:contentTypeDescription="Create a new document." ma:contentTypeScope="" ma:versionID="c874559b758fbc36ae0e31d92dc956b8">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b0392c72aa30833cced9a6c121d181e8"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f2e6-5bb4-4d29-a3ae-c426bedeeaf3}"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442bde8-3b9a-412f-bffa-98aaf5709b6b">
      <UserInfo>
        <DisplayName/>
        <AccountId xsi:nil="true"/>
        <AccountType/>
      </UserInfo>
    </SharedWithUsers>
    <TaxCatchAll xmlns="4442bde8-3b9a-412f-bffa-98aaf5709b6b" xsi:nil="true"/>
    <lcf76f155ced4ddcb4097134ff3c332f xmlns="25793f7a-a37b-4e1c-b9fe-39e28de9fedb">
      <Terms xmlns="http://schemas.microsoft.com/office/infopath/2007/PartnerControls"/>
    </lcf76f155ced4ddcb4097134ff3c332f>
    <_Flow_SignoffStatus xmlns="25793f7a-a37b-4e1c-b9fe-39e28de9fedb" xsi:nil="true"/>
  </documentManagement>
</p:properties>
</file>

<file path=customXml/itemProps1.xml><?xml version="1.0" encoding="utf-8"?>
<ds:datastoreItem xmlns:ds="http://schemas.openxmlformats.org/officeDocument/2006/customXml" ds:itemID="{81068443-E5A4-4920-8F67-8A8CF97DAE71}">
  <ds:schemaRefs>
    <ds:schemaRef ds:uri="http://schemas.openxmlformats.org/officeDocument/2006/bibliography"/>
  </ds:schemaRefs>
</ds:datastoreItem>
</file>

<file path=customXml/itemProps2.xml><?xml version="1.0" encoding="utf-8"?>
<ds:datastoreItem xmlns:ds="http://schemas.openxmlformats.org/officeDocument/2006/customXml" ds:itemID="{BF113938-1EC4-4935-ADF5-FDDF42E13197}">
  <ds:schemaRefs>
    <ds:schemaRef ds:uri="http://schemas.microsoft.com/sharepoint/v3/contenttype/forms"/>
  </ds:schemaRefs>
</ds:datastoreItem>
</file>

<file path=customXml/itemProps3.xml><?xml version="1.0" encoding="utf-8"?>
<ds:datastoreItem xmlns:ds="http://schemas.openxmlformats.org/officeDocument/2006/customXml" ds:itemID="{76173355-FD16-412D-8C0B-39CD42299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48953-7F1C-4933-BA7C-6862420C1E19}">
  <ds:schemaRefs>
    <ds:schemaRef ds:uri="http://schemas.microsoft.com/office/2006/metadata/properties"/>
    <ds:schemaRef ds:uri="http://schemas.microsoft.com/office/infopath/2007/PartnerControls"/>
    <ds:schemaRef ds:uri="4442bde8-3b9a-412f-bffa-98aaf5709b6b"/>
    <ds:schemaRef ds:uri="25793f7a-a37b-4e1c-b9fe-39e28de9fedb"/>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10168</Characters>
  <Application>Microsoft Office Word</Application>
  <DocSecurity>8</DocSecurity>
  <Lines>207</Lines>
  <Paragraphs>111</Paragraphs>
  <ScaleCrop>false</ScaleCrop>
  <Company>NHSGG&amp;C</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 A. Foot</dc:creator>
  <cp:lastModifiedBy>Kathrin Greschner (NHS Greater Glasgow and Clyde)</cp:lastModifiedBy>
  <cp:revision>3</cp:revision>
  <cp:lastPrinted>2022-12-23T10:11:00Z</cp:lastPrinted>
  <dcterms:created xsi:type="dcterms:W3CDTF">2026-01-14T14:18:00Z</dcterms:created>
  <dcterms:modified xsi:type="dcterms:W3CDTF">2026-01-14T14:20:00Z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EntryID">
    <vt:lpwstr>000000004F63B5DCD1245A4FA96804356491C5F707006249E4B593984147BC6B074C39DC88310000000A214900006249E4B593984147BC6B074C39DC8831000001F59BD50000</vt:lpwstr>
  </property>
  <property fmtid="{D5CDD505-2E9C-101B-9397-08002B2CF9AE}" pid="4" name="_EmailStoreID0">
    <vt:lpwstr>0000000038A1BB1005E5101AA1BB08002B2A56C20000454D534D44422E444C4C00000000000000001B55FA20AA6611CD9BC800AA002FC45A0C0000004747432D45584D422D3039002F6F3D4E48534747432F6F753D4C6976696E6773746F6E20446174612043656E7472652F636E3D526563697069656E74732F636E3D666F7</vt:lpwstr>
  </property>
  <property fmtid="{D5CDD505-2E9C-101B-9397-08002B2CF9AE}" pid="5" name="_EmailStoreID1">
    <vt:lpwstr>2647275746800</vt:lpwstr>
  </property>
  <property fmtid="{D5CDD505-2E9C-101B-9397-08002B2CF9AE}" pid="6" name="ContentTypeId">
    <vt:lpwstr>0x010100B4308F779970F84C843AB55D933EB081</vt:lpwstr>
  </property>
  <property fmtid="{D5CDD505-2E9C-101B-9397-08002B2CF9AE}" pid="7" name="Order">
    <vt:r8>36200</vt:r8>
  </property>
  <property fmtid="{D5CDD505-2E9C-101B-9397-08002B2CF9AE}" pid="8" name="_ExtendedDescription">
    <vt:lpwstr/>
  </property>
  <property fmtid="{D5CDD505-2E9C-101B-9397-08002B2CF9AE}" pid="9" name="ComplianceAssetId">
    <vt:lpwstr/>
  </property>
  <property fmtid="{D5CDD505-2E9C-101B-9397-08002B2CF9AE}" pid="10" name="MediaServiceImageTags">
    <vt:lpwstr/>
  </property>
  <property fmtid="{D5CDD505-2E9C-101B-9397-08002B2CF9AE}" pid="11" name="docLang">
    <vt:lpwstr>en</vt:lpwstr>
  </property>
</Properties>
</file>