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1E03" w14:textId="77777777" w:rsidR="001261E4" w:rsidRPr="002B2E05" w:rsidRDefault="001261E4" w:rsidP="002B2E05">
      <w:pPr>
        <w:pStyle w:val="BodyText"/>
        <w:numPr>
          <w:ilvl w:val="0"/>
          <w:numId w:val="21"/>
        </w:numPr>
        <w:pBdr>
          <w:top w:val="single" w:sz="4" w:space="1" w:color="auto"/>
        </w:pBdr>
        <w:jc w:val="both"/>
        <w:rPr>
          <w:rFonts w:asciiTheme="minorHAnsi" w:hAnsiTheme="minorHAnsi" w:cstheme="minorHAnsi"/>
          <w:color w:val="1F497D"/>
        </w:rPr>
      </w:pPr>
      <w:bookmarkStart w:id="0" w:name="_Toc206838597"/>
      <w:bookmarkStart w:id="1" w:name="_Toc216764121"/>
      <w:bookmarkStart w:id="2" w:name="_Toc199125501"/>
      <w:permStart w:id="1589255658" w:edGrp="everyone"/>
      <w:permEnd w:id="1589255658"/>
      <w:r w:rsidRPr="002B2E05">
        <w:rPr>
          <w:rFonts w:asciiTheme="minorHAnsi" w:hAnsiTheme="minorHAnsi" w:cstheme="minorHAnsi"/>
          <w:color w:val="1F497D"/>
        </w:rPr>
        <w:t>Purpose of paper</w:t>
      </w:r>
      <w:bookmarkEnd w:id="0"/>
      <w:bookmarkEnd w:id="1"/>
    </w:p>
    <w:p w14:paraId="41631E04" w14:textId="77777777" w:rsidR="001261E4" w:rsidRPr="002B2E05" w:rsidRDefault="001261E4" w:rsidP="001261E4">
      <w:pPr>
        <w:jc w:val="both"/>
        <w:rPr>
          <w:rFonts w:asciiTheme="minorHAnsi" w:hAnsiTheme="minorHAnsi" w:cs="Tahoma"/>
        </w:rPr>
      </w:pPr>
    </w:p>
    <w:p w14:paraId="41631E05" w14:textId="7873A32D" w:rsidR="001261E4" w:rsidRPr="002B2E05" w:rsidRDefault="001261E4" w:rsidP="066D4B6B">
      <w:pPr>
        <w:jc w:val="both"/>
        <w:rPr>
          <w:rFonts w:asciiTheme="minorHAnsi" w:hAnsiTheme="minorHAnsi" w:cs="Tahoma"/>
        </w:rPr>
      </w:pPr>
      <w:r w:rsidRPr="066D4B6B">
        <w:rPr>
          <w:rFonts w:asciiTheme="minorHAnsi" w:hAnsiTheme="minorHAnsi" w:cs="Tahoma"/>
        </w:rPr>
        <w:t>This policy outlines the NHSGGC management process of Individual Patient Treatment Requests (IPTRs) for medicines being used within their licensed indications when:</w:t>
      </w:r>
    </w:p>
    <w:p w14:paraId="41631E06" w14:textId="77777777" w:rsidR="001261E4" w:rsidRPr="002B2E05" w:rsidRDefault="001261E4" w:rsidP="001261E4">
      <w:pPr>
        <w:jc w:val="both"/>
        <w:rPr>
          <w:rFonts w:asciiTheme="minorHAnsi" w:hAnsiTheme="minorHAnsi" w:cs="Tahoma"/>
        </w:rPr>
      </w:pPr>
    </w:p>
    <w:p w14:paraId="41631E07" w14:textId="77777777" w:rsidR="00BF1CC2" w:rsidRPr="002B2E05" w:rsidRDefault="00AC6693" w:rsidP="00BF1CC2">
      <w:pPr>
        <w:numPr>
          <w:ilvl w:val="0"/>
          <w:numId w:val="4"/>
        </w:numPr>
        <w:jc w:val="both"/>
        <w:rPr>
          <w:rFonts w:asciiTheme="minorHAnsi" w:hAnsiTheme="minorHAnsi" w:cs="Tahoma"/>
        </w:rPr>
      </w:pPr>
      <w:r w:rsidRPr="002B2E05">
        <w:rPr>
          <w:rFonts w:asciiTheme="minorHAnsi" w:hAnsiTheme="minorHAnsi" w:cs="Tahoma"/>
        </w:rPr>
        <w:t>The medicine/indication have not yet been submitted to the SMC for evaluation</w:t>
      </w:r>
    </w:p>
    <w:p w14:paraId="41631E08" w14:textId="77777777" w:rsidR="00AC6693" w:rsidRPr="002B2E05" w:rsidRDefault="00EF6121" w:rsidP="001261E4">
      <w:pPr>
        <w:numPr>
          <w:ilvl w:val="0"/>
          <w:numId w:val="4"/>
        </w:numPr>
        <w:jc w:val="both"/>
        <w:rPr>
          <w:rFonts w:asciiTheme="minorHAnsi" w:hAnsiTheme="minorHAnsi" w:cs="Tahoma"/>
        </w:rPr>
      </w:pPr>
      <w:r w:rsidRPr="002B2E05">
        <w:rPr>
          <w:rFonts w:asciiTheme="minorHAnsi" w:hAnsiTheme="minorHAnsi" w:cs="Tahoma"/>
        </w:rPr>
        <w:t xml:space="preserve">The SMC </w:t>
      </w:r>
      <w:r w:rsidR="001261E4" w:rsidRPr="002B2E05">
        <w:rPr>
          <w:rFonts w:asciiTheme="minorHAnsi" w:hAnsiTheme="minorHAnsi" w:cs="Tahoma"/>
        </w:rPr>
        <w:t>has issued “not recommended” advice for the medicine</w:t>
      </w:r>
      <w:r w:rsidR="00AC6693" w:rsidRPr="002B2E05">
        <w:rPr>
          <w:rFonts w:asciiTheme="minorHAnsi" w:hAnsiTheme="minorHAnsi" w:cs="Tahoma"/>
        </w:rPr>
        <w:t>/indication because the company have failed to make a submission to the SMC (non-submission)</w:t>
      </w:r>
    </w:p>
    <w:p w14:paraId="41631E09" w14:textId="77777777" w:rsidR="001261E4" w:rsidRPr="002B2E05" w:rsidRDefault="00AC6693" w:rsidP="001261E4">
      <w:pPr>
        <w:numPr>
          <w:ilvl w:val="0"/>
          <w:numId w:val="4"/>
        </w:numPr>
        <w:jc w:val="both"/>
        <w:rPr>
          <w:rFonts w:asciiTheme="minorHAnsi" w:hAnsiTheme="minorHAnsi" w:cs="Tahoma"/>
        </w:rPr>
      </w:pPr>
      <w:r w:rsidRPr="002B2E05">
        <w:rPr>
          <w:rFonts w:asciiTheme="minorHAnsi" w:hAnsiTheme="minorHAnsi" w:cs="Tahoma"/>
        </w:rPr>
        <w:t>The SMC have issued advice on the medicine/indication, but the intended use of the medicine is outside the company positioning (selective submission) which was evaluated by the SMC.</w:t>
      </w:r>
    </w:p>
    <w:p w14:paraId="41631E0A" w14:textId="77777777" w:rsidR="00AC24DC" w:rsidRPr="002B2E05" w:rsidRDefault="00AC24DC" w:rsidP="001261E4">
      <w:pPr>
        <w:jc w:val="both"/>
        <w:rPr>
          <w:rStyle w:val="Emphasis"/>
          <w:rFonts w:asciiTheme="minorHAnsi" w:hAnsiTheme="minorHAnsi" w:cs="Tahoma"/>
          <w:i w:val="0"/>
        </w:rPr>
      </w:pPr>
    </w:p>
    <w:p w14:paraId="41631E0B" w14:textId="510E69C7" w:rsidR="00AC6693" w:rsidRPr="002B2E05" w:rsidRDefault="00AC6693" w:rsidP="066D4B6B">
      <w:pPr>
        <w:jc w:val="both"/>
        <w:rPr>
          <w:rStyle w:val="Emphasis"/>
          <w:rFonts w:asciiTheme="minorHAnsi" w:hAnsiTheme="minorHAnsi" w:cs="Tahoma"/>
          <w:i w:val="0"/>
          <w:iCs w:val="0"/>
        </w:rPr>
      </w:pPr>
      <w:r w:rsidRPr="066D4B6B">
        <w:rPr>
          <w:rStyle w:val="Emphasis"/>
          <w:rFonts w:asciiTheme="minorHAnsi" w:hAnsiTheme="minorHAnsi" w:cs="Tahoma"/>
          <w:i w:val="0"/>
          <w:iCs w:val="0"/>
        </w:rPr>
        <w:t>The Peer Approved Clinical System, Tier 2, should be used for all other requests for licensed medicines that do not fall into the above situations.  Guidance on which process to follow can be found on the GGC Medicines website.</w:t>
      </w:r>
    </w:p>
    <w:p w14:paraId="41631E0C" w14:textId="77777777" w:rsidR="006A1357" w:rsidRPr="002B2E05" w:rsidRDefault="006A1357" w:rsidP="001261E4">
      <w:pPr>
        <w:jc w:val="both"/>
        <w:rPr>
          <w:rStyle w:val="Emphasis"/>
          <w:rFonts w:asciiTheme="minorHAnsi" w:hAnsiTheme="minorHAnsi" w:cs="Tahoma"/>
          <w:i w:val="0"/>
        </w:rPr>
      </w:pPr>
    </w:p>
    <w:p w14:paraId="41631E0D" w14:textId="1D2132C8" w:rsidR="006A1357" w:rsidRPr="002B2E05" w:rsidRDefault="006A1357" w:rsidP="7A92EB4F">
      <w:pPr>
        <w:ind w:right="-288"/>
        <w:rPr>
          <w:rStyle w:val="Emphasis"/>
          <w:rFonts w:asciiTheme="minorHAnsi" w:hAnsiTheme="minorHAnsi" w:cs="Tahoma"/>
          <w:i w:val="0"/>
          <w:iCs w:val="0"/>
          <w:color w:val="000000"/>
        </w:rPr>
      </w:pPr>
      <w:r w:rsidRPr="7A92EB4F">
        <w:rPr>
          <w:rStyle w:val="Emphasis"/>
          <w:rFonts w:asciiTheme="minorHAnsi" w:hAnsiTheme="minorHAnsi" w:cs="Tahoma"/>
          <w:i w:val="0"/>
          <w:iCs w:val="0"/>
        </w:rPr>
        <w:t xml:space="preserve">This policy also incorporates guidance intended to introduce ‘flexibility’ into the IPTR process </w:t>
      </w:r>
      <w:r w:rsidR="00881D41" w:rsidRPr="7A92EB4F">
        <w:rPr>
          <w:rStyle w:val="Emphasis"/>
          <w:rFonts w:asciiTheme="minorHAnsi" w:hAnsiTheme="minorHAnsi" w:cs="Tahoma"/>
          <w:i w:val="0"/>
          <w:iCs w:val="0"/>
        </w:rPr>
        <w:t xml:space="preserve">as outlined in </w:t>
      </w:r>
      <w:hyperlink r:id="rId10" w:history="1">
        <w:r w:rsidR="00881D41" w:rsidRPr="7A92EB4F">
          <w:rPr>
            <w:rStyle w:val="Hyperlink"/>
            <w:rFonts w:asciiTheme="minorHAnsi" w:hAnsiTheme="minorHAnsi" w:cs="Tahoma"/>
            <w:i/>
            <w:iCs/>
          </w:rPr>
          <w:t>Access to Medicines – Transitional arrangements for processing individual patient treatment requests</w:t>
        </w:r>
        <w:r w:rsidR="00881D41" w:rsidRPr="066D4B6B">
          <w:rPr>
            <w:rStyle w:val="Hyperlink"/>
            <w:rFonts w:asciiTheme="minorHAnsi" w:hAnsiTheme="minorHAnsi" w:cs="Tahoma"/>
          </w:rPr>
          <w:t xml:space="preserve"> (SGHD/CMO(2013)20)</w:t>
        </w:r>
      </w:hyperlink>
    </w:p>
    <w:p w14:paraId="41631E0E" w14:textId="77777777" w:rsidR="00AC24DC" w:rsidRPr="002B2E05" w:rsidRDefault="00AC24DC" w:rsidP="001261E4">
      <w:pPr>
        <w:jc w:val="both"/>
        <w:rPr>
          <w:rFonts w:asciiTheme="minorHAnsi" w:hAnsiTheme="minorHAnsi" w:cs="Tahoma"/>
          <w:i/>
        </w:rPr>
      </w:pPr>
    </w:p>
    <w:p w14:paraId="41631E0F" w14:textId="77777777" w:rsidR="001261E4" w:rsidRPr="002B2E05" w:rsidRDefault="001261E4" w:rsidP="002B2E05">
      <w:pPr>
        <w:pStyle w:val="BodyText"/>
        <w:numPr>
          <w:ilvl w:val="0"/>
          <w:numId w:val="21"/>
        </w:numPr>
        <w:pBdr>
          <w:top w:val="single" w:sz="4" w:space="1" w:color="auto"/>
        </w:pBdr>
        <w:jc w:val="both"/>
        <w:rPr>
          <w:rFonts w:asciiTheme="minorHAnsi" w:hAnsiTheme="minorHAnsi" w:cstheme="minorHAnsi"/>
          <w:color w:val="1F497D"/>
        </w:rPr>
      </w:pPr>
      <w:bookmarkStart w:id="3" w:name="_Toc206838598"/>
      <w:bookmarkStart w:id="4" w:name="_Toc216764122"/>
      <w:bookmarkEnd w:id="2"/>
      <w:r w:rsidRPr="002B2E05">
        <w:rPr>
          <w:rFonts w:asciiTheme="minorHAnsi" w:hAnsiTheme="minorHAnsi" w:cstheme="minorHAnsi"/>
          <w:color w:val="1F497D"/>
        </w:rPr>
        <w:t>B</w:t>
      </w:r>
      <w:r w:rsidR="002B2E05">
        <w:rPr>
          <w:rFonts w:asciiTheme="minorHAnsi" w:hAnsiTheme="minorHAnsi" w:cstheme="minorHAnsi"/>
          <w:color w:val="1F497D"/>
        </w:rPr>
        <w:t>ackground</w:t>
      </w:r>
      <w:bookmarkEnd w:id="3"/>
      <w:bookmarkEnd w:id="4"/>
    </w:p>
    <w:p w14:paraId="41631E10" w14:textId="77777777" w:rsidR="001261E4" w:rsidRPr="002B2E05" w:rsidRDefault="001261E4" w:rsidP="001261E4">
      <w:pPr>
        <w:jc w:val="both"/>
        <w:rPr>
          <w:rFonts w:asciiTheme="minorHAnsi" w:hAnsiTheme="minorHAnsi" w:cs="Tahoma"/>
        </w:rPr>
      </w:pPr>
    </w:p>
    <w:p w14:paraId="41631E11" w14:textId="64182E37" w:rsidR="009B4200" w:rsidRPr="002B2E05" w:rsidRDefault="006A1357" w:rsidP="066D4B6B">
      <w:pPr>
        <w:jc w:val="both"/>
        <w:rPr>
          <w:rFonts w:asciiTheme="minorHAnsi" w:hAnsiTheme="minorHAnsi" w:cs="Tahoma"/>
        </w:rPr>
      </w:pPr>
      <w:r w:rsidRPr="066D4B6B">
        <w:rPr>
          <w:rFonts w:asciiTheme="minorHAnsi" w:hAnsiTheme="minorHAnsi" w:cs="Tahoma"/>
        </w:rPr>
        <w:t xml:space="preserve">The Individual Patient Treatment Request (IPTR) process was introduced in 2010 to reflect guidance from Scottish </w:t>
      </w:r>
      <w:r w:rsidR="001261E4" w:rsidRPr="066D4B6B">
        <w:rPr>
          <w:rFonts w:asciiTheme="minorHAnsi" w:hAnsiTheme="minorHAnsi" w:cs="Tahoma"/>
        </w:rPr>
        <w:t>Government (</w:t>
      </w:r>
      <w:hyperlink r:id="rId11" w:history="1">
        <w:r w:rsidR="001261E4" w:rsidRPr="066D4B6B">
          <w:rPr>
            <w:rStyle w:val="Hyperlink"/>
            <w:rFonts w:asciiTheme="minorHAnsi" w:hAnsiTheme="minorHAnsi" w:cs="Tahoma"/>
          </w:rPr>
          <w:t>CEL (2010)17</w:t>
        </w:r>
      </w:hyperlink>
      <w:r w:rsidR="001261E4" w:rsidRPr="066D4B6B">
        <w:rPr>
          <w:rFonts w:asciiTheme="minorHAnsi" w:hAnsiTheme="minorHAnsi" w:cs="Tahoma"/>
        </w:rPr>
        <w:t xml:space="preserve"> and </w:t>
      </w:r>
      <w:hyperlink r:id="rId12" w:history="1">
        <w:r w:rsidR="001261E4" w:rsidRPr="066D4B6B">
          <w:rPr>
            <w:rStyle w:val="Hyperlink"/>
            <w:rFonts w:asciiTheme="minorHAnsi" w:hAnsiTheme="minorHAnsi" w:cs="Tahoma"/>
          </w:rPr>
          <w:t>CMO (2011)3</w:t>
        </w:r>
        <w:r w:rsidR="009C17FA" w:rsidRPr="066D4B6B">
          <w:rPr>
            <w:rStyle w:val="Hyperlink"/>
            <w:rFonts w:asciiTheme="minorHAnsi" w:hAnsiTheme="minorHAnsi" w:cs="Tahoma"/>
          </w:rPr>
          <w:t>)</w:t>
        </w:r>
      </w:hyperlink>
      <w:r w:rsidR="001261E4" w:rsidRPr="066D4B6B">
        <w:rPr>
          <w:rFonts w:asciiTheme="minorHAnsi" w:hAnsiTheme="minorHAnsi" w:cs="Tahoma"/>
        </w:rPr>
        <w:t xml:space="preserve"> regarding the introduction and availability of newly licensed medicines</w:t>
      </w:r>
      <w:r w:rsidR="009C17FA" w:rsidRPr="066D4B6B">
        <w:rPr>
          <w:rFonts w:asciiTheme="minorHAnsi" w:hAnsiTheme="minorHAnsi" w:cs="Tahoma"/>
        </w:rPr>
        <w:t xml:space="preserve">.  </w:t>
      </w:r>
      <w:r w:rsidRPr="066D4B6B">
        <w:rPr>
          <w:rFonts w:asciiTheme="minorHAnsi" w:hAnsiTheme="minorHAnsi" w:cs="Tahoma"/>
        </w:rPr>
        <w:t xml:space="preserve">In November 2013, following on from the New Medicines Review and additional guidance from Scottish Government </w:t>
      </w:r>
      <w:hyperlink r:id="rId13" w:history="1">
        <w:r w:rsidRPr="066D4B6B">
          <w:rPr>
            <w:rStyle w:val="Hyperlink"/>
            <w:rFonts w:asciiTheme="minorHAnsi" w:hAnsiTheme="minorHAnsi" w:cs="Tahoma"/>
          </w:rPr>
          <w:t>(SGHD/CMO(2013)20)</w:t>
        </w:r>
      </w:hyperlink>
      <w:r w:rsidR="009B4200" w:rsidRPr="066D4B6B">
        <w:rPr>
          <w:rFonts w:asciiTheme="minorHAnsi" w:hAnsiTheme="minorHAnsi" w:cs="Tahoma"/>
        </w:rPr>
        <w:t xml:space="preserve">, a replacement process (Peer Approval Clinical System (PACS)) was proposed.  </w:t>
      </w:r>
    </w:p>
    <w:p w14:paraId="41631E12" w14:textId="77777777" w:rsidR="001261E4" w:rsidRPr="002B2E05" w:rsidRDefault="001261E4" w:rsidP="001261E4">
      <w:pPr>
        <w:jc w:val="both"/>
        <w:rPr>
          <w:rFonts w:asciiTheme="minorHAnsi" w:hAnsiTheme="minorHAnsi" w:cs="Tahoma"/>
          <w:b/>
          <w:caps/>
          <w:color w:val="000080"/>
          <w:lang w:eastAsia="en-US"/>
        </w:rPr>
      </w:pPr>
    </w:p>
    <w:p w14:paraId="41631E13" w14:textId="77777777" w:rsidR="001261E4" w:rsidRPr="002B2E05" w:rsidRDefault="001E5E58" w:rsidP="001E5E58">
      <w:pPr>
        <w:pStyle w:val="BodyText"/>
        <w:numPr>
          <w:ilvl w:val="0"/>
          <w:numId w:val="21"/>
        </w:numPr>
        <w:pBdr>
          <w:top w:val="single" w:sz="4" w:space="1" w:color="auto"/>
        </w:pBdr>
        <w:jc w:val="both"/>
        <w:rPr>
          <w:rFonts w:asciiTheme="minorHAnsi" w:hAnsiTheme="minorHAnsi" w:cs="Tahoma"/>
          <w:b w:val="0"/>
          <w:caps/>
          <w:color w:val="000080"/>
          <w:szCs w:val="24"/>
        </w:rPr>
      </w:pPr>
      <w:bookmarkStart w:id="5" w:name="_Toc288481554"/>
      <w:r>
        <w:rPr>
          <w:rFonts w:asciiTheme="minorHAnsi" w:hAnsiTheme="minorHAnsi" w:cstheme="minorHAnsi"/>
          <w:color w:val="1F497D"/>
        </w:rPr>
        <w:t>Overview of IPTR</w:t>
      </w:r>
      <w:r w:rsidR="001261E4" w:rsidRPr="002B2E05">
        <w:rPr>
          <w:rFonts w:asciiTheme="minorHAnsi" w:hAnsiTheme="minorHAnsi" w:cstheme="minorHAnsi"/>
          <w:color w:val="1F497D"/>
        </w:rPr>
        <w:t xml:space="preserve"> and non-formulary process in the acute sector</w:t>
      </w:r>
      <w:bookmarkEnd w:id="5"/>
    </w:p>
    <w:p w14:paraId="41631E14" w14:textId="77777777" w:rsidR="001261E4" w:rsidRPr="002B2E05" w:rsidRDefault="001261E4" w:rsidP="001261E4">
      <w:pPr>
        <w:tabs>
          <w:tab w:val="left" w:pos="720"/>
          <w:tab w:val="left" w:pos="1440"/>
          <w:tab w:val="left" w:pos="2160"/>
          <w:tab w:val="left" w:pos="2880"/>
          <w:tab w:val="left" w:pos="4680"/>
          <w:tab w:val="left" w:pos="5400"/>
          <w:tab w:val="right" w:pos="9000"/>
        </w:tabs>
        <w:jc w:val="both"/>
        <w:rPr>
          <w:rFonts w:asciiTheme="minorHAnsi" w:hAnsiTheme="minorHAnsi" w:cs="Tahoma"/>
        </w:rPr>
      </w:pPr>
    </w:p>
    <w:p w14:paraId="41631E15" w14:textId="69F6A49A" w:rsidR="001261E4" w:rsidRPr="002B2E05" w:rsidRDefault="001261E4" w:rsidP="066D4B6B">
      <w:pPr>
        <w:pStyle w:val="BodyText"/>
        <w:ind w:right="-335"/>
        <w:jc w:val="both"/>
        <w:rPr>
          <w:rFonts w:asciiTheme="minorHAnsi" w:hAnsiTheme="minorHAnsi" w:cs="Tahoma"/>
          <w:b w:val="0"/>
        </w:rPr>
      </w:pPr>
      <w:r w:rsidRPr="066D4B6B">
        <w:rPr>
          <w:rFonts w:asciiTheme="minorHAnsi" w:hAnsiTheme="minorHAnsi" w:cs="Tahoma"/>
          <w:b w:val="0"/>
        </w:rPr>
        <w:t>The IPTR policy is applicable to all directly provided NHSGGC</w:t>
      </w:r>
      <w:r w:rsidR="00111B0A" w:rsidRPr="066D4B6B">
        <w:rPr>
          <w:rFonts w:asciiTheme="minorHAnsi" w:hAnsiTheme="minorHAnsi" w:cs="Tahoma"/>
          <w:b w:val="0"/>
        </w:rPr>
        <w:t xml:space="preserve"> </w:t>
      </w:r>
      <w:r w:rsidR="16A3F2C4" w:rsidRPr="066D4B6B">
        <w:rPr>
          <w:rFonts w:asciiTheme="minorHAnsi" w:hAnsiTheme="minorHAnsi" w:cs="Tahoma"/>
          <w:b w:val="0"/>
        </w:rPr>
        <w:t>services,</w:t>
      </w:r>
      <w:r w:rsidR="00111B0A" w:rsidRPr="066D4B6B">
        <w:rPr>
          <w:rFonts w:asciiTheme="minorHAnsi" w:hAnsiTheme="minorHAnsi" w:cs="Tahoma"/>
          <w:b w:val="0"/>
        </w:rPr>
        <w:t xml:space="preserve"> and its</w:t>
      </w:r>
      <w:r w:rsidRPr="066D4B6B">
        <w:rPr>
          <w:rFonts w:asciiTheme="minorHAnsi" w:hAnsiTheme="minorHAnsi" w:cs="Tahoma"/>
          <w:b w:val="0"/>
        </w:rPr>
        <w:t xml:space="preserve"> intention </w:t>
      </w:r>
      <w:r w:rsidR="00111B0A" w:rsidRPr="066D4B6B">
        <w:rPr>
          <w:rFonts w:asciiTheme="minorHAnsi" w:hAnsiTheme="minorHAnsi" w:cs="Tahoma"/>
          <w:b w:val="0"/>
        </w:rPr>
        <w:t xml:space="preserve">is </w:t>
      </w:r>
      <w:r w:rsidRPr="066D4B6B">
        <w:rPr>
          <w:rFonts w:asciiTheme="minorHAnsi" w:hAnsiTheme="minorHAnsi" w:cs="Tahoma"/>
          <w:b w:val="0"/>
        </w:rPr>
        <w:t xml:space="preserve">to ensure a fair and consistent approach for all patients referred to NHSGGC clinicians for treatment regardless of originating </w:t>
      </w:r>
      <w:r w:rsidR="003A1E81" w:rsidRPr="066D4B6B">
        <w:rPr>
          <w:rFonts w:asciiTheme="minorHAnsi" w:hAnsiTheme="minorHAnsi" w:cs="Tahoma"/>
          <w:b w:val="0"/>
        </w:rPr>
        <w:t>H</w:t>
      </w:r>
      <w:r w:rsidRPr="066D4B6B">
        <w:rPr>
          <w:rFonts w:asciiTheme="minorHAnsi" w:hAnsiTheme="minorHAnsi" w:cs="Tahoma"/>
          <w:b w:val="0"/>
        </w:rPr>
        <w:t xml:space="preserve">ealth </w:t>
      </w:r>
      <w:r w:rsidR="003A1E81" w:rsidRPr="066D4B6B">
        <w:rPr>
          <w:rFonts w:asciiTheme="minorHAnsi" w:hAnsiTheme="minorHAnsi" w:cs="Tahoma"/>
          <w:b w:val="0"/>
        </w:rPr>
        <w:t>B</w:t>
      </w:r>
      <w:r w:rsidRPr="066D4B6B">
        <w:rPr>
          <w:rFonts w:asciiTheme="minorHAnsi" w:hAnsiTheme="minorHAnsi" w:cs="Tahoma"/>
          <w:b w:val="0"/>
        </w:rPr>
        <w:t>oard.</w:t>
      </w:r>
    </w:p>
    <w:p w14:paraId="41631E16" w14:textId="77777777" w:rsidR="001261E4" w:rsidRPr="002B2E05" w:rsidRDefault="001261E4" w:rsidP="001261E4">
      <w:pPr>
        <w:tabs>
          <w:tab w:val="left" w:pos="720"/>
          <w:tab w:val="left" w:pos="1440"/>
          <w:tab w:val="left" w:pos="2160"/>
          <w:tab w:val="left" w:pos="2880"/>
          <w:tab w:val="left" w:pos="4680"/>
          <w:tab w:val="left" w:pos="5400"/>
          <w:tab w:val="right" w:pos="9000"/>
        </w:tabs>
        <w:jc w:val="both"/>
        <w:rPr>
          <w:rFonts w:asciiTheme="minorHAnsi" w:hAnsiTheme="minorHAnsi" w:cs="Tahoma"/>
        </w:rPr>
      </w:pPr>
    </w:p>
    <w:p w14:paraId="41631E17" w14:textId="15A8C580" w:rsidR="002D6698" w:rsidRPr="002B2E05" w:rsidRDefault="002D6698" w:rsidP="066D4B6B">
      <w:pPr>
        <w:autoSpaceDE w:val="0"/>
        <w:autoSpaceDN w:val="0"/>
        <w:adjustRightInd w:val="0"/>
        <w:rPr>
          <w:rFonts w:asciiTheme="minorHAnsi" w:hAnsiTheme="minorHAnsi" w:cs="Tahoma"/>
          <w:color w:val="000000"/>
        </w:rPr>
      </w:pPr>
      <w:r w:rsidRPr="066D4B6B">
        <w:rPr>
          <w:rFonts w:asciiTheme="minorHAnsi" w:hAnsiTheme="minorHAnsi" w:cs="Tahoma"/>
          <w:color w:val="000000" w:themeColor="text1"/>
        </w:rPr>
        <w:t xml:space="preserve">In NHSGGC, the IPTR process with </w:t>
      </w:r>
      <w:r w:rsidR="00BA5911" w:rsidRPr="066D4B6B">
        <w:rPr>
          <w:rFonts w:asciiTheme="minorHAnsi" w:hAnsiTheme="minorHAnsi" w:cs="Tahoma"/>
          <w:color w:val="000000" w:themeColor="text1"/>
        </w:rPr>
        <w:t xml:space="preserve">form completion and </w:t>
      </w:r>
      <w:r w:rsidRPr="066D4B6B">
        <w:rPr>
          <w:rFonts w:asciiTheme="minorHAnsi" w:hAnsiTheme="minorHAnsi" w:cs="Tahoma"/>
          <w:color w:val="000000" w:themeColor="text1"/>
        </w:rPr>
        <w:t xml:space="preserve">review by a panel is only required for applications for medicines where the basic NHS list price of the medicine exceeds £3,000 per patient treatment (or £3,000 per annum for continued or long-term treatment). This is to balance the resource required to implement IPTR against the benefit of a detailed process for </w:t>
      </w:r>
      <w:r w:rsidR="474EE163" w:rsidRPr="066D4B6B">
        <w:rPr>
          <w:rFonts w:asciiTheme="minorHAnsi" w:hAnsiTheme="minorHAnsi" w:cs="Tahoma"/>
          <w:color w:val="000000" w:themeColor="text1"/>
        </w:rPr>
        <w:t>low-cost</w:t>
      </w:r>
      <w:r w:rsidRPr="066D4B6B">
        <w:rPr>
          <w:rFonts w:asciiTheme="minorHAnsi" w:hAnsiTheme="minorHAnsi" w:cs="Tahoma"/>
          <w:color w:val="000000" w:themeColor="text1"/>
        </w:rPr>
        <w:t xml:space="preserve"> medicines. Medicines under this threshold will be subject </w:t>
      </w:r>
      <w:r w:rsidR="77F7F6F4" w:rsidRPr="066D4B6B">
        <w:rPr>
          <w:rFonts w:asciiTheme="minorHAnsi" w:hAnsiTheme="minorHAnsi" w:cs="Tahoma"/>
          <w:color w:val="000000" w:themeColor="text1"/>
        </w:rPr>
        <w:t>to review</w:t>
      </w:r>
      <w:r w:rsidRPr="066D4B6B">
        <w:rPr>
          <w:rFonts w:asciiTheme="minorHAnsi" w:hAnsiTheme="minorHAnsi" w:cs="Tahoma"/>
          <w:color w:val="000000" w:themeColor="text1"/>
        </w:rPr>
        <w:t xml:space="preserve"> and management</w:t>
      </w:r>
      <w:r w:rsidR="00BA5911" w:rsidRPr="066D4B6B">
        <w:rPr>
          <w:rFonts w:asciiTheme="minorHAnsi" w:hAnsiTheme="minorHAnsi" w:cs="Tahoma"/>
          <w:color w:val="000000" w:themeColor="text1"/>
        </w:rPr>
        <w:t xml:space="preserve"> and do not require a</w:t>
      </w:r>
      <w:r w:rsidR="69F15EF4" w:rsidRPr="066D4B6B">
        <w:rPr>
          <w:rFonts w:asciiTheme="minorHAnsi" w:hAnsiTheme="minorHAnsi" w:cs="Tahoma"/>
          <w:color w:val="000000" w:themeColor="text1"/>
        </w:rPr>
        <w:t>n</w:t>
      </w:r>
      <w:r w:rsidR="00BA5911" w:rsidRPr="066D4B6B">
        <w:rPr>
          <w:rFonts w:asciiTheme="minorHAnsi" w:hAnsiTheme="minorHAnsi" w:cs="Tahoma"/>
          <w:color w:val="000000" w:themeColor="text1"/>
        </w:rPr>
        <w:t xml:space="preserve"> </w:t>
      </w:r>
      <w:r w:rsidR="00CB3531" w:rsidRPr="066D4B6B">
        <w:rPr>
          <w:rFonts w:asciiTheme="minorHAnsi" w:hAnsiTheme="minorHAnsi" w:cs="Tahoma"/>
          <w:color w:val="000000" w:themeColor="text1"/>
        </w:rPr>
        <w:t>IPTR</w:t>
      </w:r>
      <w:r w:rsidR="00BA5911" w:rsidRPr="066D4B6B">
        <w:rPr>
          <w:rFonts w:asciiTheme="minorHAnsi" w:hAnsiTheme="minorHAnsi" w:cs="Tahoma"/>
          <w:color w:val="000000" w:themeColor="text1"/>
        </w:rPr>
        <w:t xml:space="preserve"> form to be completed</w:t>
      </w:r>
      <w:r w:rsidRPr="066D4B6B">
        <w:rPr>
          <w:rFonts w:asciiTheme="minorHAnsi" w:hAnsiTheme="minorHAnsi" w:cs="Tahoma"/>
          <w:color w:val="000000" w:themeColor="text1"/>
        </w:rPr>
        <w:t xml:space="preserve">. </w:t>
      </w:r>
    </w:p>
    <w:p w14:paraId="41631E18" w14:textId="77777777" w:rsidR="001261E4" w:rsidRPr="002B2E05" w:rsidRDefault="001261E4" w:rsidP="001261E4">
      <w:pPr>
        <w:jc w:val="both"/>
        <w:rPr>
          <w:rFonts w:asciiTheme="minorHAnsi" w:hAnsiTheme="minorHAnsi"/>
        </w:rPr>
      </w:pPr>
    </w:p>
    <w:p w14:paraId="41631E19" w14:textId="77777777" w:rsidR="001261E4" w:rsidRPr="002B2E05" w:rsidRDefault="001261E4" w:rsidP="001E5E58">
      <w:pPr>
        <w:pStyle w:val="BodyText"/>
        <w:numPr>
          <w:ilvl w:val="0"/>
          <w:numId w:val="21"/>
        </w:numPr>
        <w:pBdr>
          <w:top w:val="single" w:sz="4" w:space="1" w:color="auto"/>
        </w:pBdr>
        <w:jc w:val="both"/>
        <w:rPr>
          <w:rFonts w:asciiTheme="minorHAnsi" w:hAnsiTheme="minorHAnsi" w:cstheme="minorHAnsi"/>
          <w:color w:val="1F497D"/>
        </w:rPr>
      </w:pPr>
      <w:bookmarkStart w:id="6" w:name="_Toc288481555"/>
      <w:r w:rsidRPr="002B2E05">
        <w:rPr>
          <w:rFonts w:asciiTheme="minorHAnsi" w:hAnsiTheme="minorHAnsi" w:cstheme="minorHAnsi"/>
          <w:color w:val="1F497D"/>
        </w:rPr>
        <w:t>P</w:t>
      </w:r>
      <w:r w:rsidR="001E5E58">
        <w:rPr>
          <w:rFonts w:asciiTheme="minorHAnsi" w:hAnsiTheme="minorHAnsi" w:cstheme="minorHAnsi"/>
          <w:color w:val="1F497D"/>
        </w:rPr>
        <w:t>rocess for r</w:t>
      </w:r>
      <w:r w:rsidRPr="002B2E05">
        <w:rPr>
          <w:rFonts w:asciiTheme="minorHAnsi" w:hAnsiTheme="minorHAnsi" w:cstheme="minorHAnsi"/>
          <w:color w:val="1F497D"/>
        </w:rPr>
        <w:t xml:space="preserve">eviewing </w:t>
      </w:r>
      <w:r w:rsidR="001E5E58">
        <w:rPr>
          <w:rFonts w:asciiTheme="minorHAnsi" w:hAnsiTheme="minorHAnsi" w:cstheme="minorHAnsi"/>
          <w:color w:val="1F497D"/>
        </w:rPr>
        <w:t>IPTRs</w:t>
      </w:r>
      <w:bookmarkEnd w:id="6"/>
    </w:p>
    <w:p w14:paraId="41631E1A" w14:textId="77777777" w:rsidR="001261E4" w:rsidRPr="002B2E05" w:rsidRDefault="001261E4" w:rsidP="001261E4">
      <w:pPr>
        <w:ind w:right="-56"/>
        <w:jc w:val="both"/>
        <w:rPr>
          <w:rFonts w:asciiTheme="minorHAnsi" w:hAnsiTheme="minorHAnsi" w:cs="Tahoma"/>
        </w:rPr>
      </w:pPr>
    </w:p>
    <w:p w14:paraId="41631E1B" w14:textId="6F7A7219" w:rsidR="001261E4" w:rsidRPr="002B2E05" w:rsidRDefault="001261E4" w:rsidP="7A92EB4F">
      <w:pPr>
        <w:ind w:right="-56"/>
        <w:jc w:val="both"/>
        <w:rPr>
          <w:rFonts w:asciiTheme="minorHAnsi" w:hAnsiTheme="minorHAnsi" w:cs="Tahoma"/>
          <w:i/>
          <w:iCs/>
        </w:rPr>
      </w:pPr>
      <w:r w:rsidRPr="066D4B6B">
        <w:rPr>
          <w:rFonts w:asciiTheme="minorHAnsi" w:hAnsiTheme="minorHAnsi" w:cs="Tahoma"/>
        </w:rPr>
        <w:t>The process for reviewing a</w:t>
      </w:r>
      <w:r w:rsidR="002D6698" w:rsidRPr="066D4B6B">
        <w:rPr>
          <w:rFonts w:asciiTheme="minorHAnsi" w:hAnsiTheme="minorHAnsi" w:cs="Tahoma"/>
        </w:rPr>
        <w:t>n</w:t>
      </w:r>
      <w:r w:rsidRPr="066D4B6B">
        <w:rPr>
          <w:rFonts w:asciiTheme="minorHAnsi" w:hAnsiTheme="minorHAnsi" w:cs="Tahoma"/>
        </w:rPr>
        <w:t xml:space="preserve"> IPTR for a medicine</w:t>
      </w:r>
      <w:r w:rsidR="00A21D76" w:rsidRPr="066D4B6B">
        <w:rPr>
          <w:rFonts w:asciiTheme="minorHAnsi" w:hAnsiTheme="minorHAnsi" w:cs="Tahoma"/>
        </w:rPr>
        <w:t>,</w:t>
      </w:r>
      <w:r w:rsidRPr="066D4B6B">
        <w:rPr>
          <w:rFonts w:asciiTheme="minorHAnsi" w:hAnsiTheme="minorHAnsi" w:cs="Tahoma"/>
        </w:rPr>
        <w:t xml:space="preserve"> indication</w:t>
      </w:r>
      <w:r w:rsidR="00A21D76" w:rsidRPr="066D4B6B">
        <w:rPr>
          <w:rFonts w:asciiTheme="minorHAnsi" w:hAnsiTheme="minorHAnsi" w:cs="Tahoma"/>
        </w:rPr>
        <w:t xml:space="preserve"> or formulation</w:t>
      </w:r>
      <w:r w:rsidRPr="066D4B6B">
        <w:rPr>
          <w:rFonts w:asciiTheme="minorHAnsi" w:hAnsiTheme="minorHAnsi" w:cs="Tahoma"/>
        </w:rPr>
        <w:t xml:space="preserve"> that is not recommended for use or awaiting evaluation by the Scottish Med</w:t>
      </w:r>
      <w:r w:rsidR="00EF6121" w:rsidRPr="066D4B6B">
        <w:rPr>
          <w:rFonts w:asciiTheme="minorHAnsi" w:hAnsiTheme="minorHAnsi" w:cs="Tahoma"/>
        </w:rPr>
        <w:t>icines Consortium (SMC)</w:t>
      </w:r>
      <w:r w:rsidRPr="066D4B6B">
        <w:rPr>
          <w:rFonts w:asciiTheme="minorHAnsi" w:hAnsiTheme="minorHAnsi" w:cs="Tahoma"/>
        </w:rPr>
        <w:t xml:space="preserve"> is detailed below.  The aim is to </w:t>
      </w:r>
      <w:r w:rsidRPr="066D4B6B">
        <w:rPr>
          <w:rFonts w:asciiTheme="minorHAnsi" w:hAnsiTheme="minorHAnsi" w:cs="Tahoma"/>
        </w:rPr>
        <w:lastRenderedPageBreak/>
        <w:t xml:space="preserve">ensure a consistent approach for all patients throughout the health board in accordance with guidance from The Scottish Government (as detailed in </w:t>
      </w:r>
      <w:hyperlink r:id="rId14" w:history="1">
        <w:r w:rsidRPr="066D4B6B">
          <w:rPr>
            <w:rStyle w:val="Hyperlink"/>
            <w:rFonts w:asciiTheme="minorHAnsi" w:hAnsiTheme="minorHAnsi" w:cs="Tahoma"/>
          </w:rPr>
          <w:t>CEL(2010)17</w:t>
        </w:r>
      </w:hyperlink>
      <w:r w:rsidR="002B4E8B" w:rsidRPr="066D4B6B">
        <w:rPr>
          <w:rFonts w:asciiTheme="minorHAnsi" w:hAnsiTheme="minorHAnsi" w:cs="Tahoma"/>
        </w:rPr>
        <w:t>,</w:t>
      </w:r>
      <w:r w:rsidRPr="066D4B6B">
        <w:rPr>
          <w:rFonts w:asciiTheme="minorHAnsi" w:hAnsiTheme="minorHAnsi" w:cs="Tahoma"/>
        </w:rPr>
        <w:t xml:space="preserve"> </w:t>
      </w:r>
      <w:hyperlink r:id="rId15" w:history="1">
        <w:r w:rsidRPr="066D4B6B">
          <w:rPr>
            <w:rStyle w:val="Hyperlink"/>
            <w:rFonts w:asciiTheme="minorHAnsi" w:hAnsiTheme="minorHAnsi" w:cs="Tahoma"/>
          </w:rPr>
          <w:t>CMO(2011)3)</w:t>
        </w:r>
      </w:hyperlink>
      <w:r w:rsidR="002B4E8B" w:rsidRPr="066D4B6B">
        <w:rPr>
          <w:rFonts w:asciiTheme="minorHAnsi" w:hAnsiTheme="minorHAnsi" w:cs="Tahoma"/>
        </w:rPr>
        <w:t xml:space="preserve"> and </w:t>
      </w:r>
      <w:hyperlink r:id="rId16" w:history="1">
        <w:r w:rsidR="002B4E8B" w:rsidRPr="066D4B6B">
          <w:rPr>
            <w:rStyle w:val="Hyperlink"/>
            <w:rFonts w:asciiTheme="minorHAnsi" w:hAnsiTheme="minorHAnsi" w:cs="Tahoma"/>
          </w:rPr>
          <w:t>CMO(2013)20</w:t>
        </w:r>
      </w:hyperlink>
      <w:r w:rsidR="002B4E8B" w:rsidRPr="066D4B6B">
        <w:rPr>
          <w:rFonts w:asciiTheme="minorHAnsi" w:hAnsiTheme="minorHAnsi" w:cs="Tahoma"/>
        </w:rPr>
        <w:t>.</w:t>
      </w:r>
    </w:p>
    <w:p w14:paraId="41631E1C" w14:textId="77777777" w:rsidR="001261E4" w:rsidRPr="002B2E05" w:rsidRDefault="001261E4" w:rsidP="001261E4">
      <w:pPr>
        <w:ind w:right="-56"/>
        <w:jc w:val="both"/>
        <w:rPr>
          <w:rFonts w:asciiTheme="minorHAnsi" w:hAnsiTheme="minorHAnsi" w:cs="Tahoma"/>
        </w:rPr>
      </w:pPr>
    </w:p>
    <w:p w14:paraId="41631E1D" w14:textId="77777777" w:rsidR="001261E4" w:rsidRPr="002B2E05" w:rsidRDefault="001261E4" w:rsidP="001E5E58">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t>Panel Membership</w:t>
      </w:r>
    </w:p>
    <w:p w14:paraId="41631E1E" w14:textId="77777777" w:rsidR="002B2E05" w:rsidRDefault="002B2E05" w:rsidP="002D6698">
      <w:pPr>
        <w:autoSpaceDE w:val="0"/>
        <w:autoSpaceDN w:val="0"/>
        <w:adjustRightInd w:val="0"/>
        <w:rPr>
          <w:rFonts w:asciiTheme="minorHAnsi" w:hAnsiTheme="minorHAnsi" w:cs="Tahoma"/>
          <w:color w:val="000000"/>
        </w:rPr>
      </w:pPr>
    </w:p>
    <w:p w14:paraId="41631E1F" w14:textId="77777777" w:rsidR="002D6698" w:rsidRPr="002B2E05" w:rsidRDefault="002D6698" w:rsidP="002D6698">
      <w:pPr>
        <w:autoSpaceDE w:val="0"/>
        <w:autoSpaceDN w:val="0"/>
        <w:adjustRightInd w:val="0"/>
        <w:rPr>
          <w:rFonts w:asciiTheme="minorHAnsi" w:hAnsiTheme="minorHAnsi" w:cs="Tahoma"/>
          <w:color w:val="000000"/>
        </w:rPr>
      </w:pPr>
      <w:r w:rsidRPr="002B2E05">
        <w:rPr>
          <w:rFonts w:asciiTheme="minorHAnsi" w:hAnsiTheme="minorHAnsi" w:cs="Tahoma"/>
          <w:color w:val="000000"/>
        </w:rPr>
        <w:t xml:space="preserve">The Panel for reviewing a request via </w:t>
      </w:r>
      <w:r w:rsidR="001E5E58">
        <w:rPr>
          <w:rFonts w:asciiTheme="minorHAnsi" w:hAnsiTheme="minorHAnsi" w:cs="Tahoma"/>
          <w:color w:val="000000"/>
        </w:rPr>
        <w:t>IPTR</w:t>
      </w:r>
      <w:r w:rsidRPr="002B2E05">
        <w:rPr>
          <w:rFonts w:asciiTheme="minorHAnsi" w:hAnsiTheme="minorHAnsi" w:cs="Tahoma"/>
          <w:color w:val="000000"/>
        </w:rPr>
        <w:t xml:space="preserve"> will be clinician-led and will typically consist of: </w:t>
      </w:r>
    </w:p>
    <w:p w14:paraId="41631E20" w14:textId="77777777" w:rsidR="002D6698" w:rsidRPr="001E5E58" w:rsidRDefault="002D6698" w:rsidP="001E5E58">
      <w:pPr>
        <w:pStyle w:val="ListParagraph"/>
        <w:numPr>
          <w:ilvl w:val="0"/>
          <w:numId w:val="22"/>
        </w:numPr>
        <w:autoSpaceDE w:val="0"/>
        <w:autoSpaceDN w:val="0"/>
        <w:adjustRightInd w:val="0"/>
        <w:spacing w:after="17"/>
        <w:rPr>
          <w:rFonts w:asciiTheme="minorHAnsi" w:hAnsiTheme="minorHAnsi" w:cs="Tahoma"/>
          <w:color w:val="000000"/>
        </w:rPr>
      </w:pPr>
      <w:r w:rsidRPr="001E5E58">
        <w:rPr>
          <w:rFonts w:asciiTheme="minorHAnsi" w:hAnsiTheme="minorHAnsi" w:cs="Tahoma"/>
          <w:color w:val="000000"/>
        </w:rPr>
        <w:t xml:space="preserve">Senior physician (e.g. Chief of Medicine, Clinical Director, Medical Director) or nominated deputy </w:t>
      </w:r>
    </w:p>
    <w:p w14:paraId="41631E21" w14:textId="77777777" w:rsidR="002D6698" w:rsidRPr="001E5E58" w:rsidRDefault="001E5E58" w:rsidP="001E5E58">
      <w:pPr>
        <w:pStyle w:val="ListParagraph"/>
        <w:numPr>
          <w:ilvl w:val="0"/>
          <w:numId w:val="22"/>
        </w:numPr>
        <w:autoSpaceDE w:val="0"/>
        <w:autoSpaceDN w:val="0"/>
        <w:adjustRightInd w:val="0"/>
        <w:rPr>
          <w:rFonts w:asciiTheme="minorHAnsi" w:hAnsiTheme="minorHAnsi" w:cs="Tahoma"/>
          <w:color w:val="000000"/>
        </w:rPr>
      </w:pPr>
      <w:r>
        <w:rPr>
          <w:rFonts w:asciiTheme="minorHAnsi" w:hAnsiTheme="minorHAnsi" w:cs="Wingdings"/>
          <w:color w:val="000000"/>
        </w:rPr>
        <w:t>S</w:t>
      </w:r>
      <w:r w:rsidR="002D6698" w:rsidRPr="001E5E58">
        <w:rPr>
          <w:rFonts w:asciiTheme="minorHAnsi" w:hAnsiTheme="minorHAnsi" w:cs="Tahoma"/>
          <w:color w:val="000000"/>
        </w:rPr>
        <w:t xml:space="preserve">enior pharmacist </w:t>
      </w:r>
    </w:p>
    <w:p w14:paraId="41631E22" w14:textId="77777777" w:rsidR="002D6698" w:rsidRPr="002B2E05" w:rsidRDefault="002D6698" w:rsidP="002D6698">
      <w:pPr>
        <w:autoSpaceDE w:val="0"/>
        <w:autoSpaceDN w:val="0"/>
        <w:adjustRightInd w:val="0"/>
        <w:ind w:left="360"/>
        <w:rPr>
          <w:rFonts w:asciiTheme="minorHAnsi" w:hAnsiTheme="minorHAnsi" w:cs="Tahoma"/>
          <w:color w:val="000000"/>
        </w:rPr>
      </w:pPr>
    </w:p>
    <w:p w14:paraId="41631E23" w14:textId="77777777" w:rsidR="002D6698" w:rsidRPr="002B2E05" w:rsidRDefault="002D6698" w:rsidP="002D6698">
      <w:pPr>
        <w:autoSpaceDE w:val="0"/>
        <w:autoSpaceDN w:val="0"/>
        <w:adjustRightInd w:val="0"/>
        <w:rPr>
          <w:rFonts w:asciiTheme="minorHAnsi" w:hAnsiTheme="minorHAnsi" w:cs="Tahoma"/>
          <w:color w:val="000000"/>
        </w:rPr>
      </w:pPr>
      <w:r w:rsidRPr="002B2E05">
        <w:rPr>
          <w:rFonts w:asciiTheme="minorHAnsi" w:hAnsiTheme="minorHAnsi" w:cs="Tahoma"/>
          <w:color w:val="000000"/>
        </w:rPr>
        <w:t xml:space="preserve">An appropriate person to comment on service requirements and implications (such as a General Manager or Service Manager) may be sought to join the panel where required </w:t>
      </w:r>
    </w:p>
    <w:p w14:paraId="41631E24" w14:textId="77777777" w:rsidR="002D6698" w:rsidRPr="002B2E05" w:rsidRDefault="002D6698" w:rsidP="002D6698">
      <w:pPr>
        <w:autoSpaceDE w:val="0"/>
        <w:autoSpaceDN w:val="0"/>
        <w:adjustRightInd w:val="0"/>
        <w:ind w:left="360"/>
        <w:rPr>
          <w:rFonts w:asciiTheme="minorHAnsi" w:hAnsiTheme="minorHAnsi" w:cs="Tahoma"/>
          <w:color w:val="000000"/>
        </w:rPr>
      </w:pPr>
    </w:p>
    <w:p w14:paraId="41631E25" w14:textId="61C7CA40" w:rsidR="002D6698" w:rsidRPr="002B2E05" w:rsidRDefault="002D6698" w:rsidP="066D4B6B">
      <w:pPr>
        <w:autoSpaceDE w:val="0"/>
        <w:autoSpaceDN w:val="0"/>
        <w:adjustRightInd w:val="0"/>
        <w:rPr>
          <w:rFonts w:asciiTheme="minorHAnsi" w:hAnsiTheme="minorHAnsi" w:cs="Tahoma"/>
          <w:color w:val="000000"/>
        </w:rPr>
      </w:pPr>
      <w:r w:rsidRPr="066D4B6B">
        <w:rPr>
          <w:rFonts w:asciiTheme="minorHAnsi" w:hAnsiTheme="minorHAnsi" w:cs="Tahoma"/>
          <w:color w:val="000000" w:themeColor="text1"/>
        </w:rPr>
        <w:t xml:space="preserve">Local arrangements should be in place for managing </w:t>
      </w:r>
      <w:r w:rsidR="001E5E58" w:rsidRPr="066D4B6B">
        <w:rPr>
          <w:rFonts w:asciiTheme="minorHAnsi" w:hAnsiTheme="minorHAnsi" w:cs="Tahoma"/>
          <w:color w:val="000000" w:themeColor="text1"/>
        </w:rPr>
        <w:t>IPTRs</w:t>
      </w:r>
      <w:r w:rsidRPr="066D4B6B">
        <w:rPr>
          <w:rFonts w:asciiTheme="minorHAnsi" w:hAnsiTheme="minorHAnsi" w:cs="Tahoma"/>
          <w:color w:val="000000" w:themeColor="text1"/>
        </w:rPr>
        <w:t xml:space="preserve"> for patients from other health boards (see section</w:t>
      </w:r>
      <w:r w:rsidR="00884B9D" w:rsidRPr="066D4B6B">
        <w:rPr>
          <w:rFonts w:asciiTheme="minorHAnsi" w:hAnsiTheme="minorHAnsi" w:cs="Tahoma"/>
          <w:color w:val="000000" w:themeColor="text1"/>
        </w:rPr>
        <w:t>s</w:t>
      </w:r>
      <w:r w:rsidRPr="066D4B6B">
        <w:rPr>
          <w:rFonts w:asciiTheme="minorHAnsi" w:hAnsiTheme="minorHAnsi" w:cs="Tahoma"/>
          <w:color w:val="000000" w:themeColor="text1"/>
        </w:rPr>
        <w:t xml:space="preserve"> </w:t>
      </w:r>
      <w:r w:rsidR="00884B9D" w:rsidRPr="066D4B6B">
        <w:rPr>
          <w:rFonts w:asciiTheme="minorHAnsi" w:hAnsiTheme="minorHAnsi" w:cs="Tahoma"/>
          <w:color w:val="000000" w:themeColor="text1"/>
        </w:rPr>
        <w:t>8 and 9</w:t>
      </w:r>
      <w:r w:rsidRPr="066D4B6B">
        <w:rPr>
          <w:rFonts w:asciiTheme="minorHAnsi" w:hAnsiTheme="minorHAnsi" w:cs="Tahoma"/>
          <w:color w:val="000000" w:themeColor="text1"/>
        </w:rPr>
        <w:t xml:space="preserve">). </w:t>
      </w:r>
    </w:p>
    <w:p w14:paraId="41631E26" w14:textId="77777777" w:rsidR="00827D9A" w:rsidRPr="002B2E05" w:rsidRDefault="00827D9A" w:rsidP="006333EB">
      <w:pPr>
        <w:ind w:right="-56"/>
        <w:jc w:val="both"/>
        <w:rPr>
          <w:rFonts w:asciiTheme="minorHAnsi" w:hAnsiTheme="minorHAnsi" w:cs="Tahoma"/>
        </w:rPr>
      </w:pPr>
    </w:p>
    <w:p w14:paraId="41631E27" w14:textId="77777777" w:rsidR="001261E4" w:rsidRPr="002B2E05" w:rsidRDefault="001261E4" w:rsidP="001E5E58">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t>R</w:t>
      </w:r>
      <w:r w:rsidR="001A02AD">
        <w:rPr>
          <w:rFonts w:asciiTheme="minorHAnsi" w:hAnsiTheme="minorHAnsi" w:cstheme="minorHAnsi"/>
          <w:color w:val="1F497D"/>
        </w:rPr>
        <w:t>eferral criteria</w:t>
      </w:r>
      <w:r w:rsidR="001E5E58">
        <w:rPr>
          <w:rFonts w:asciiTheme="minorHAnsi" w:hAnsiTheme="minorHAnsi" w:cstheme="minorHAnsi"/>
          <w:color w:val="1F497D"/>
        </w:rPr>
        <w:t xml:space="preserve"> and consideration by the IPTR panel</w:t>
      </w:r>
    </w:p>
    <w:p w14:paraId="41631E28" w14:textId="77777777" w:rsidR="002B2E05" w:rsidRDefault="002B2E05" w:rsidP="001261E4">
      <w:pPr>
        <w:jc w:val="both"/>
        <w:rPr>
          <w:rFonts w:asciiTheme="minorHAnsi" w:hAnsiTheme="minorHAnsi" w:cs="Tahoma"/>
        </w:rPr>
      </w:pPr>
    </w:p>
    <w:p w14:paraId="41631E29" w14:textId="77777777" w:rsidR="001261E4" w:rsidRPr="002B2E05" w:rsidRDefault="001261E4" w:rsidP="001261E4">
      <w:pPr>
        <w:jc w:val="both"/>
        <w:rPr>
          <w:rFonts w:asciiTheme="minorHAnsi" w:hAnsiTheme="minorHAnsi" w:cs="Tahoma"/>
        </w:rPr>
      </w:pPr>
      <w:r w:rsidRPr="002B2E05">
        <w:rPr>
          <w:rFonts w:asciiTheme="minorHAnsi" w:hAnsiTheme="minorHAnsi" w:cs="Tahoma"/>
        </w:rPr>
        <w:t>An IPTR can only be submitted when the clinician fully supports the request.  The referral criteria for an IPTR should relate to the clinical circumstances (condition and characteristics) of an individual patient.</w:t>
      </w:r>
    </w:p>
    <w:p w14:paraId="41631E2A" w14:textId="77777777" w:rsidR="001261E4" w:rsidRPr="002B2E05" w:rsidRDefault="001261E4" w:rsidP="001261E4">
      <w:pPr>
        <w:jc w:val="both"/>
        <w:rPr>
          <w:rFonts w:asciiTheme="minorHAnsi" w:hAnsiTheme="minorHAnsi" w:cs="Tahoma"/>
        </w:rPr>
      </w:pPr>
    </w:p>
    <w:p w14:paraId="41631E2B" w14:textId="77777777" w:rsidR="001261E4" w:rsidRPr="002B2E05" w:rsidRDefault="001261E4" w:rsidP="001261E4">
      <w:pPr>
        <w:jc w:val="both"/>
        <w:rPr>
          <w:rFonts w:asciiTheme="minorHAnsi" w:hAnsiTheme="minorHAnsi" w:cs="Tahoma"/>
        </w:rPr>
      </w:pPr>
      <w:r w:rsidRPr="002B2E05">
        <w:rPr>
          <w:rFonts w:asciiTheme="minorHAnsi" w:hAnsiTheme="minorHAnsi" w:cs="Tahoma"/>
        </w:rPr>
        <w:t>Cases referred to the IPTR Panel should seek to demonstrate the following criteria:</w:t>
      </w:r>
    </w:p>
    <w:p w14:paraId="41631E2C" w14:textId="77777777" w:rsidR="001261E4" w:rsidRPr="002B2E05" w:rsidRDefault="001261E4" w:rsidP="001261E4">
      <w:pPr>
        <w:numPr>
          <w:ilvl w:val="0"/>
          <w:numId w:val="10"/>
        </w:numPr>
        <w:jc w:val="both"/>
        <w:rPr>
          <w:rFonts w:asciiTheme="minorHAnsi" w:hAnsiTheme="minorHAnsi" w:cs="Tahoma"/>
        </w:rPr>
      </w:pPr>
      <w:r w:rsidRPr="002B2E05">
        <w:rPr>
          <w:rFonts w:asciiTheme="minorHAnsi" w:hAnsiTheme="minorHAnsi" w:cs="Tahoma"/>
        </w:rPr>
        <w:t>That the patient’s clinical circumstances (condition and characteristics) are significantly different from either:</w:t>
      </w:r>
    </w:p>
    <w:p w14:paraId="41631E2D" w14:textId="77777777" w:rsidR="001261E4" w:rsidRPr="002B2E05" w:rsidRDefault="001261E4" w:rsidP="007C1E5E">
      <w:pPr>
        <w:numPr>
          <w:ilvl w:val="1"/>
          <w:numId w:val="10"/>
        </w:numPr>
        <w:tabs>
          <w:tab w:val="clear" w:pos="1440"/>
          <w:tab w:val="num" w:pos="900"/>
        </w:tabs>
        <w:ind w:left="900"/>
        <w:jc w:val="both"/>
        <w:rPr>
          <w:rFonts w:asciiTheme="minorHAnsi" w:hAnsiTheme="minorHAnsi" w:cs="Tahoma"/>
        </w:rPr>
      </w:pPr>
      <w:r w:rsidRPr="002B2E05">
        <w:rPr>
          <w:rFonts w:asciiTheme="minorHAnsi" w:hAnsiTheme="minorHAnsi" w:cs="Tahoma"/>
        </w:rPr>
        <w:t>The general population of patients covered by the medicine’s licence (for medicines awaiting evaluation or non-submissions to SMC); or</w:t>
      </w:r>
    </w:p>
    <w:p w14:paraId="41631E2E" w14:textId="77777777" w:rsidR="001261E4" w:rsidRPr="002B2E05" w:rsidRDefault="001261E4" w:rsidP="007C1E5E">
      <w:pPr>
        <w:numPr>
          <w:ilvl w:val="1"/>
          <w:numId w:val="10"/>
        </w:numPr>
        <w:tabs>
          <w:tab w:val="clear" w:pos="1440"/>
          <w:tab w:val="num" w:pos="900"/>
        </w:tabs>
        <w:ind w:left="900"/>
        <w:jc w:val="both"/>
        <w:rPr>
          <w:rFonts w:asciiTheme="minorHAnsi" w:hAnsiTheme="minorHAnsi" w:cs="Tahoma"/>
        </w:rPr>
      </w:pPr>
      <w:r w:rsidRPr="002B2E05">
        <w:rPr>
          <w:rFonts w:asciiTheme="minorHAnsi" w:hAnsiTheme="minorHAnsi" w:cs="Tahoma"/>
        </w:rPr>
        <w:t xml:space="preserve">The population of patients included in the clinical trials for the medicine’s licensed indication as appraised by the SMC </w:t>
      </w:r>
    </w:p>
    <w:p w14:paraId="41631E2F" w14:textId="77777777" w:rsidR="00652CC8" w:rsidRPr="002B2E05" w:rsidRDefault="00652CC8" w:rsidP="00652CC8">
      <w:pPr>
        <w:jc w:val="both"/>
        <w:rPr>
          <w:rFonts w:asciiTheme="minorHAnsi" w:hAnsiTheme="minorHAnsi" w:cs="Tahoma"/>
        </w:rPr>
      </w:pPr>
      <w:r w:rsidRPr="002B2E05">
        <w:rPr>
          <w:rFonts w:asciiTheme="minorHAnsi" w:hAnsiTheme="minorHAnsi" w:cs="Tahoma"/>
        </w:rPr>
        <w:t>AND</w:t>
      </w:r>
    </w:p>
    <w:p w14:paraId="41631E30" w14:textId="77777777" w:rsidR="001261E4" w:rsidRPr="002B2E05" w:rsidRDefault="001261E4" w:rsidP="001261E4">
      <w:pPr>
        <w:numPr>
          <w:ilvl w:val="0"/>
          <w:numId w:val="10"/>
        </w:numPr>
        <w:jc w:val="both"/>
        <w:rPr>
          <w:rFonts w:asciiTheme="minorHAnsi" w:hAnsiTheme="minorHAnsi" w:cs="Tahoma"/>
        </w:rPr>
      </w:pPr>
      <w:r w:rsidRPr="002B2E05">
        <w:rPr>
          <w:rFonts w:asciiTheme="minorHAnsi" w:hAnsiTheme="minorHAnsi" w:cs="Tahoma"/>
        </w:rPr>
        <w:t>That these circumstances imply that the patient is likely to gain significantly more benefit from the medicine than would normally be expected.</w:t>
      </w:r>
    </w:p>
    <w:p w14:paraId="41631E31" w14:textId="77777777" w:rsidR="0099282E" w:rsidRPr="002B2E05" w:rsidRDefault="0099282E" w:rsidP="0099282E">
      <w:pPr>
        <w:ind w:firstLine="720"/>
        <w:jc w:val="both"/>
        <w:rPr>
          <w:rFonts w:asciiTheme="minorHAnsi" w:hAnsiTheme="minorHAnsi" w:cs="Tahoma"/>
        </w:rPr>
      </w:pPr>
    </w:p>
    <w:p w14:paraId="41631E32" w14:textId="4E27CE03" w:rsidR="0099282E" w:rsidRPr="002B2E05" w:rsidRDefault="0099282E" w:rsidP="54609720">
      <w:pPr>
        <w:jc w:val="both"/>
        <w:rPr>
          <w:rFonts w:asciiTheme="minorHAnsi" w:hAnsiTheme="minorHAnsi" w:cs="Tahoma"/>
        </w:rPr>
      </w:pPr>
      <w:r w:rsidRPr="54609720">
        <w:rPr>
          <w:rFonts w:asciiTheme="minorHAnsi" w:hAnsiTheme="minorHAnsi" w:cs="Tahoma"/>
        </w:rPr>
        <w:t xml:space="preserve">These are clinical criteria which are assessed on a </w:t>
      </w:r>
      <w:r w:rsidR="35E15AC4" w:rsidRPr="54609720">
        <w:rPr>
          <w:rFonts w:asciiTheme="minorHAnsi" w:hAnsiTheme="minorHAnsi" w:cs="Tahoma"/>
        </w:rPr>
        <w:t>case-by-case</w:t>
      </w:r>
      <w:r w:rsidRPr="54609720">
        <w:rPr>
          <w:rFonts w:asciiTheme="minorHAnsi" w:hAnsiTheme="minorHAnsi" w:cs="Tahoma"/>
        </w:rPr>
        <w:t xml:space="preserve"> basis. </w:t>
      </w:r>
      <w:r w:rsidR="00801805" w:rsidRPr="54609720">
        <w:rPr>
          <w:rFonts w:asciiTheme="minorHAnsi" w:hAnsiTheme="minorHAnsi" w:cs="Tahoma"/>
        </w:rPr>
        <w:t>Affordability</w:t>
      </w:r>
      <w:r w:rsidR="00757FFA" w:rsidRPr="54609720">
        <w:rPr>
          <w:rFonts w:asciiTheme="minorHAnsi" w:hAnsiTheme="minorHAnsi" w:cs="Tahoma"/>
        </w:rPr>
        <w:t xml:space="preserve"> or cost is not considered as part of the assessment.</w:t>
      </w:r>
    </w:p>
    <w:p w14:paraId="41631E33" w14:textId="77777777" w:rsidR="0099282E" w:rsidRPr="002B2E05" w:rsidRDefault="0099282E" w:rsidP="0099282E">
      <w:pPr>
        <w:jc w:val="both"/>
        <w:rPr>
          <w:rFonts w:asciiTheme="minorHAnsi" w:hAnsiTheme="minorHAnsi" w:cs="Tahoma"/>
        </w:rPr>
      </w:pPr>
    </w:p>
    <w:p w14:paraId="41631E34" w14:textId="622E6433" w:rsidR="0099282E" w:rsidRPr="002B2E05" w:rsidRDefault="0099282E" w:rsidP="066D4B6B">
      <w:pPr>
        <w:jc w:val="both"/>
        <w:rPr>
          <w:rFonts w:asciiTheme="minorHAnsi" w:hAnsiTheme="minorHAnsi" w:cs="Tahoma"/>
        </w:rPr>
      </w:pPr>
      <w:r w:rsidRPr="066D4B6B">
        <w:rPr>
          <w:rFonts w:asciiTheme="minorHAnsi" w:hAnsiTheme="minorHAnsi" w:cs="Tahoma"/>
        </w:rPr>
        <w:t xml:space="preserve">In relation to more recent advice from Scottish Government </w:t>
      </w:r>
      <w:hyperlink r:id="rId17" w:history="1">
        <w:r w:rsidRPr="066D4B6B">
          <w:rPr>
            <w:rStyle w:val="Hyperlink"/>
            <w:rFonts w:asciiTheme="minorHAnsi" w:hAnsiTheme="minorHAnsi" w:cs="Tahoma"/>
          </w:rPr>
          <w:t>(CMO(2013)20)</w:t>
        </w:r>
      </w:hyperlink>
      <w:r w:rsidRPr="066D4B6B">
        <w:rPr>
          <w:rFonts w:asciiTheme="minorHAnsi" w:hAnsiTheme="minorHAnsi" w:cs="Tahoma"/>
        </w:rPr>
        <w:t>, the panel will exercise additional flexibility via</w:t>
      </w:r>
      <w:r w:rsidR="00EB274D" w:rsidRPr="066D4B6B">
        <w:rPr>
          <w:rFonts w:asciiTheme="minorHAnsi" w:hAnsiTheme="minorHAnsi" w:cs="Tahoma"/>
        </w:rPr>
        <w:t>:</w:t>
      </w:r>
    </w:p>
    <w:p w14:paraId="41631E35" w14:textId="77777777" w:rsidR="0099282E" w:rsidRPr="002B2E05" w:rsidRDefault="0099282E" w:rsidP="00EB274D">
      <w:pPr>
        <w:numPr>
          <w:ilvl w:val="0"/>
          <w:numId w:val="16"/>
        </w:numPr>
        <w:tabs>
          <w:tab w:val="num" w:pos="1440"/>
        </w:tabs>
        <w:jc w:val="both"/>
        <w:rPr>
          <w:rFonts w:asciiTheme="minorHAnsi" w:hAnsiTheme="minorHAnsi" w:cs="Tahoma"/>
        </w:rPr>
      </w:pPr>
      <w:r w:rsidRPr="002B2E05">
        <w:rPr>
          <w:rFonts w:asciiTheme="minorHAnsi" w:hAnsiTheme="minorHAnsi" w:cs="Tahoma"/>
        </w:rPr>
        <w:t>The expectation that peer review will be incorporated as part of the evidence base e.g. an MDT report or the opinion of the Clinical Team Lead</w:t>
      </w:r>
    </w:p>
    <w:p w14:paraId="41631E36" w14:textId="77777777" w:rsidR="0099282E" w:rsidRPr="002B2E05" w:rsidRDefault="0099282E" w:rsidP="00EB274D">
      <w:pPr>
        <w:numPr>
          <w:ilvl w:val="0"/>
          <w:numId w:val="16"/>
        </w:numPr>
        <w:tabs>
          <w:tab w:val="num" w:pos="1440"/>
        </w:tabs>
        <w:jc w:val="both"/>
        <w:rPr>
          <w:rFonts w:asciiTheme="minorHAnsi" w:hAnsiTheme="minorHAnsi" w:cs="Tahoma"/>
        </w:rPr>
      </w:pPr>
      <w:r w:rsidRPr="002B2E05">
        <w:rPr>
          <w:rFonts w:asciiTheme="minorHAnsi" w:hAnsiTheme="minorHAnsi" w:cs="Tahoma"/>
        </w:rPr>
        <w:t>The option for the IPTR applicant (clinician) to contribute directly to the panel discussion</w:t>
      </w:r>
    </w:p>
    <w:p w14:paraId="41631E37" w14:textId="77777777" w:rsidR="0099282E" w:rsidRPr="002B2E05" w:rsidRDefault="0099282E" w:rsidP="00EB274D">
      <w:pPr>
        <w:numPr>
          <w:ilvl w:val="0"/>
          <w:numId w:val="16"/>
        </w:numPr>
        <w:tabs>
          <w:tab w:val="num" w:pos="1440"/>
        </w:tabs>
        <w:jc w:val="both"/>
        <w:rPr>
          <w:rFonts w:asciiTheme="minorHAnsi" w:hAnsiTheme="minorHAnsi" w:cs="Tahoma"/>
        </w:rPr>
      </w:pPr>
      <w:r w:rsidRPr="002B2E05">
        <w:rPr>
          <w:rFonts w:asciiTheme="minorHAnsi" w:hAnsiTheme="minorHAnsi" w:cs="Tahoma"/>
        </w:rPr>
        <w:t xml:space="preserve">The </w:t>
      </w:r>
      <w:r w:rsidR="00EB274D" w:rsidRPr="002B2E05">
        <w:rPr>
          <w:rFonts w:asciiTheme="minorHAnsi" w:hAnsiTheme="minorHAnsi" w:cs="Tahoma"/>
        </w:rPr>
        <w:t>additional emphasis on ‘peer approval’ where the evidence is equivocal, where the panel decision is split or where reasonable doubt exists for rejection of the IPTR referral criteria.</w:t>
      </w:r>
    </w:p>
    <w:p w14:paraId="41631E38" w14:textId="77777777" w:rsidR="001261E4" w:rsidRPr="002B2E05" w:rsidRDefault="001261E4" w:rsidP="001261E4">
      <w:pPr>
        <w:jc w:val="both"/>
        <w:rPr>
          <w:rFonts w:asciiTheme="minorHAnsi" w:hAnsiTheme="minorHAnsi" w:cs="Tahoma"/>
        </w:rPr>
      </w:pPr>
    </w:p>
    <w:p w14:paraId="41631E39" w14:textId="472F5C4C" w:rsidR="001261E4" w:rsidRPr="002B2E05" w:rsidRDefault="001261E4" w:rsidP="066D4B6B">
      <w:pPr>
        <w:jc w:val="both"/>
        <w:rPr>
          <w:rFonts w:asciiTheme="minorHAnsi" w:hAnsiTheme="minorHAnsi" w:cs="Tahoma"/>
        </w:rPr>
      </w:pPr>
      <w:r w:rsidRPr="066D4B6B">
        <w:rPr>
          <w:rFonts w:asciiTheme="minorHAnsi" w:hAnsiTheme="minorHAnsi" w:cs="Tahoma"/>
        </w:rPr>
        <w:t>Where SMC advice is not available and therefore there is no clinical and cost effectiveness assessment, the policy position in NHSGGC is that the medicine should not be</w:t>
      </w:r>
      <w:r w:rsidR="001E5E58" w:rsidRPr="066D4B6B">
        <w:rPr>
          <w:rFonts w:asciiTheme="minorHAnsi" w:hAnsiTheme="minorHAnsi" w:cs="Tahoma"/>
        </w:rPr>
        <w:t xml:space="preserve"> routinely</w:t>
      </w:r>
      <w:r w:rsidRPr="066D4B6B">
        <w:rPr>
          <w:rFonts w:asciiTheme="minorHAnsi" w:hAnsiTheme="minorHAnsi" w:cs="Tahoma"/>
        </w:rPr>
        <w:t xml:space="preserve"> prescribed. Where the IPTR </w:t>
      </w:r>
      <w:r w:rsidRPr="066D4B6B">
        <w:rPr>
          <w:rFonts w:asciiTheme="minorHAnsi" w:hAnsiTheme="minorHAnsi" w:cs="Tahoma"/>
        </w:rPr>
        <w:lastRenderedPageBreak/>
        <w:t xml:space="preserve">has been initiated in this circumstance the </w:t>
      </w:r>
      <w:r w:rsidR="00846AE1" w:rsidRPr="066D4B6B">
        <w:rPr>
          <w:rFonts w:asciiTheme="minorHAnsi" w:hAnsiTheme="minorHAnsi" w:cs="Tahoma"/>
        </w:rPr>
        <w:t>P</w:t>
      </w:r>
      <w:r w:rsidRPr="066D4B6B">
        <w:rPr>
          <w:rFonts w:asciiTheme="minorHAnsi" w:hAnsiTheme="minorHAnsi" w:cs="Tahoma"/>
        </w:rPr>
        <w:t xml:space="preserve">anel should consider whether there is an alternative treatment available and whether a delay in treatment pending SMC advice would result in significant adverse outcome for the patient. </w:t>
      </w:r>
    </w:p>
    <w:p w14:paraId="41631E3A" w14:textId="77777777" w:rsidR="001261E4" w:rsidRPr="002B2E05" w:rsidRDefault="001261E4" w:rsidP="001261E4">
      <w:pPr>
        <w:ind w:right="-56"/>
        <w:jc w:val="both"/>
        <w:rPr>
          <w:rFonts w:asciiTheme="minorHAnsi" w:hAnsiTheme="minorHAnsi" w:cs="Tahoma"/>
          <w:b/>
          <w:color w:val="333399"/>
        </w:rPr>
      </w:pPr>
    </w:p>
    <w:p w14:paraId="41631E3B" w14:textId="77777777" w:rsidR="0095440A" w:rsidRPr="002B2E05" w:rsidRDefault="004C548B" w:rsidP="001E5E58">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t>C</w:t>
      </w:r>
      <w:r w:rsidR="001E5E58">
        <w:rPr>
          <w:rFonts w:asciiTheme="minorHAnsi" w:hAnsiTheme="minorHAnsi" w:cstheme="minorHAnsi"/>
          <w:color w:val="1F497D"/>
        </w:rPr>
        <w:t>ommunication with the patient</w:t>
      </w:r>
      <w:r w:rsidR="0095440A" w:rsidRPr="002B2E05">
        <w:rPr>
          <w:rFonts w:asciiTheme="minorHAnsi" w:hAnsiTheme="minorHAnsi" w:cstheme="minorHAnsi"/>
          <w:color w:val="1F497D"/>
        </w:rPr>
        <w:t xml:space="preserve"> </w:t>
      </w:r>
    </w:p>
    <w:p w14:paraId="41631E3C" w14:textId="77777777" w:rsidR="002B2E05" w:rsidRDefault="002B2E05" w:rsidP="0095440A">
      <w:pPr>
        <w:ind w:right="-56"/>
        <w:jc w:val="both"/>
        <w:rPr>
          <w:rFonts w:asciiTheme="minorHAnsi" w:hAnsiTheme="minorHAnsi" w:cs="Tahoma"/>
        </w:rPr>
      </w:pPr>
    </w:p>
    <w:p w14:paraId="41631E3D" w14:textId="6527EF29" w:rsidR="004C548B" w:rsidRPr="002B2E05" w:rsidRDefault="004C548B" w:rsidP="066D4B6B">
      <w:pPr>
        <w:ind w:right="-56"/>
        <w:jc w:val="both"/>
        <w:rPr>
          <w:rFonts w:asciiTheme="minorHAnsi" w:hAnsiTheme="minorHAnsi" w:cs="Tahoma"/>
          <w:color w:val="000000"/>
        </w:rPr>
      </w:pPr>
      <w:r w:rsidRPr="066D4B6B">
        <w:rPr>
          <w:rFonts w:asciiTheme="minorHAnsi" w:hAnsiTheme="minorHAnsi" w:cs="Tahoma"/>
          <w:color w:val="000000" w:themeColor="text1"/>
        </w:rPr>
        <w:t xml:space="preserve">The patient is supported and guided through the IPTR process primarily by </w:t>
      </w:r>
      <w:r w:rsidR="00D745A2" w:rsidRPr="066D4B6B">
        <w:rPr>
          <w:rFonts w:asciiTheme="minorHAnsi" w:hAnsiTheme="minorHAnsi" w:cs="Tahoma"/>
          <w:color w:val="000000" w:themeColor="text1"/>
        </w:rPr>
        <w:t xml:space="preserve">their </w:t>
      </w:r>
      <w:r w:rsidRPr="066D4B6B">
        <w:rPr>
          <w:rFonts w:asciiTheme="minorHAnsi" w:hAnsiTheme="minorHAnsi" w:cs="Tahoma"/>
          <w:color w:val="000000" w:themeColor="text1"/>
        </w:rPr>
        <w:t xml:space="preserve">consultant, who will outline the terms on which an IPTR can be submitted and the basis of the </w:t>
      </w:r>
      <w:r w:rsidR="009D4507" w:rsidRPr="066D4B6B">
        <w:rPr>
          <w:rFonts w:asciiTheme="minorHAnsi" w:hAnsiTheme="minorHAnsi" w:cs="Tahoma"/>
          <w:color w:val="000000" w:themeColor="text1"/>
        </w:rPr>
        <w:t xml:space="preserve">case </w:t>
      </w:r>
      <w:r w:rsidRPr="066D4B6B">
        <w:rPr>
          <w:rFonts w:asciiTheme="minorHAnsi" w:hAnsiTheme="minorHAnsi" w:cs="Tahoma"/>
          <w:color w:val="000000" w:themeColor="text1"/>
        </w:rPr>
        <w:t>for the IPTR</w:t>
      </w:r>
      <w:r w:rsidR="00410910" w:rsidRPr="066D4B6B">
        <w:rPr>
          <w:rFonts w:asciiTheme="minorHAnsi" w:hAnsiTheme="minorHAnsi" w:cs="Tahoma"/>
          <w:color w:val="000000" w:themeColor="text1"/>
        </w:rPr>
        <w:t xml:space="preserve"> in addition to answering any specific questions the patient may have</w:t>
      </w:r>
      <w:r w:rsidRPr="066D4B6B">
        <w:rPr>
          <w:rFonts w:asciiTheme="minorHAnsi" w:hAnsiTheme="minorHAnsi" w:cs="Tahoma"/>
          <w:color w:val="000000" w:themeColor="text1"/>
        </w:rPr>
        <w:t>.  The patient is also supported by other means including:</w:t>
      </w:r>
    </w:p>
    <w:p w14:paraId="41631E3E" w14:textId="41B275B4" w:rsidR="004C548B" w:rsidRPr="002B2E05" w:rsidRDefault="004C548B" w:rsidP="066D4B6B">
      <w:pPr>
        <w:numPr>
          <w:ilvl w:val="0"/>
          <w:numId w:val="14"/>
        </w:numPr>
        <w:ind w:right="-56"/>
        <w:jc w:val="both"/>
        <w:rPr>
          <w:rFonts w:asciiTheme="minorHAnsi" w:hAnsiTheme="minorHAnsi" w:cs="Tahoma"/>
          <w:color w:val="000000"/>
        </w:rPr>
      </w:pPr>
      <w:r w:rsidRPr="066D4B6B">
        <w:rPr>
          <w:rFonts w:asciiTheme="minorHAnsi" w:hAnsiTheme="minorHAnsi" w:cs="Tahoma"/>
          <w:color w:val="000000" w:themeColor="text1"/>
        </w:rPr>
        <w:t>Patient Information Leaflet: This outlines the IPTR process and appeals process in NHSGGC in terms that can be easily comprehended by most patients and answers the most frequently asked questions</w:t>
      </w:r>
      <w:r w:rsidR="00A21D76" w:rsidRPr="066D4B6B">
        <w:rPr>
          <w:rFonts w:asciiTheme="minorHAnsi" w:hAnsiTheme="minorHAnsi" w:cs="Tahoma"/>
          <w:color w:val="000000" w:themeColor="text1"/>
        </w:rPr>
        <w:t xml:space="preserve"> </w:t>
      </w:r>
    </w:p>
    <w:p w14:paraId="41631E3F" w14:textId="77777777" w:rsidR="004C548B" w:rsidRPr="002B2E05" w:rsidRDefault="00410910" w:rsidP="004C548B">
      <w:pPr>
        <w:numPr>
          <w:ilvl w:val="0"/>
          <w:numId w:val="14"/>
        </w:numPr>
        <w:ind w:right="-56"/>
        <w:jc w:val="both"/>
        <w:rPr>
          <w:rFonts w:asciiTheme="minorHAnsi" w:hAnsiTheme="minorHAnsi" w:cs="Tahoma"/>
          <w:color w:val="000000"/>
        </w:rPr>
      </w:pPr>
      <w:r w:rsidRPr="002B2E05">
        <w:rPr>
          <w:rFonts w:asciiTheme="minorHAnsi" w:hAnsiTheme="minorHAnsi" w:cs="Tahoma"/>
          <w:color w:val="000000"/>
        </w:rPr>
        <w:t xml:space="preserve">Access to other persons </w:t>
      </w:r>
      <w:r w:rsidR="001A23D0" w:rsidRPr="002B2E05">
        <w:rPr>
          <w:rFonts w:asciiTheme="minorHAnsi" w:hAnsiTheme="minorHAnsi" w:cs="Tahoma"/>
          <w:color w:val="000000"/>
        </w:rPr>
        <w:t xml:space="preserve">within the Health Board </w:t>
      </w:r>
      <w:r w:rsidRPr="002B2E05">
        <w:rPr>
          <w:rFonts w:asciiTheme="minorHAnsi" w:hAnsiTheme="minorHAnsi" w:cs="Tahoma"/>
          <w:color w:val="000000"/>
        </w:rPr>
        <w:t>who can offer support regarding the IPTR process (via the patient’s consultant)</w:t>
      </w:r>
    </w:p>
    <w:p w14:paraId="41631E40" w14:textId="77777777" w:rsidR="00757FFA" w:rsidRPr="002B2E05" w:rsidRDefault="00757FFA" w:rsidP="004C548B">
      <w:pPr>
        <w:ind w:right="-56"/>
        <w:jc w:val="both"/>
        <w:rPr>
          <w:rFonts w:asciiTheme="minorHAnsi" w:hAnsiTheme="minorHAnsi" w:cs="Tahoma"/>
          <w:b/>
          <w:color w:val="333399"/>
        </w:rPr>
      </w:pPr>
    </w:p>
    <w:p w14:paraId="41631E41" w14:textId="2F4296B0" w:rsidR="001261E4" w:rsidRPr="001E5E58" w:rsidRDefault="001261E4" w:rsidP="066D4B6B">
      <w:pPr>
        <w:pStyle w:val="BodyText"/>
        <w:numPr>
          <w:ilvl w:val="0"/>
          <w:numId w:val="21"/>
        </w:numPr>
        <w:pBdr>
          <w:top w:val="single" w:sz="4" w:space="1" w:color="auto"/>
        </w:pBdr>
        <w:jc w:val="both"/>
        <w:rPr>
          <w:rFonts w:asciiTheme="minorHAnsi" w:hAnsiTheme="minorHAnsi" w:cstheme="minorBidi"/>
          <w:color w:val="1F497D"/>
        </w:rPr>
      </w:pPr>
      <w:r w:rsidRPr="066D4B6B">
        <w:rPr>
          <w:rFonts w:asciiTheme="minorHAnsi" w:hAnsiTheme="minorHAnsi" w:cstheme="minorBidi"/>
          <w:color w:val="1F497D" w:themeColor="text2"/>
        </w:rPr>
        <w:t>A</w:t>
      </w:r>
      <w:r w:rsidR="001E5E58" w:rsidRPr="066D4B6B">
        <w:rPr>
          <w:rFonts w:asciiTheme="minorHAnsi" w:hAnsiTheme="minorHAnsi" w:cstheme="minorBidi"/>
          <w:color w:val="1F497D" w:themeColor="text2"/>
        </w:rPr>
        <w:t>pplication for patients residing outwith NHSGGC</w:t>
      </w:r>
    </w:p>
    <w:p w14:paraId="41631E42" w14:textId="77777777" w:rsidR="002B2E05" w:rsidRDefault="002B2E05" w:rsidP="001261E4">
      <w:pPr>
        <w:ind w:right="-56"/>
        <w:jc w:val="both"/>
        <w:rPr>
          <w:rFonts w:asciiTheme="minorHAnsi" w:hAnsiTheme="minorHAnsi" w:cs="Tahoma"/>
          <w:color w:val="000000"/>
        </w:rPr>
      </w:pPr>
    </w:p>
    <w:p w14:paraId="41631E43" w14:textId="09803281" w:rsidR="001261E4" w:rsidRPr="002B2E05" w:rsidRDefault="00603CB0" w:rsidP="066D4B6B">
      <w:pPr>
        <w:ind w:right="-56"/>
        <w:jc w:val="both"/>
        <w:rPr>
          <w:rFonts w:asciiTheme="minorHAnsi" w:hAnsiTheme="minorHAnsi" w:cs="Tahoma"/>
          <w:color w:val="000000"/>
        </w:rPr>
      </w:pPr>
      <w:r w:rsidRPr="066D4B6B">
        <w:rPr>
          <w:rFonts w:asciiTheme="minorHAnsi" w:hAnsiTheme="minorHAnsi" w:cs="Tahoma"/>
          <w:color w:val="000000" w:themeColor="text1"/>
        </w:rPr>
        <w:t>T</w:t>
      </w:r>
      <w:r w:rsidR="00F12689" w:rsidRPr="066D4B6B">
        <w:rPr>
          <w:rFonts w:asciiTheme="minorHAnsi" w:hAnsiTheme="minorHAnsi" w:cs="Tahoma"/>
          <w:color w:val="000000" w:themeColor="text1"/>
        </w:rPr>
        <w:t xml:space="preserve">he West of Scotland </w:t>
      </w:r>
      <w:r w:rsidRPr="066D4B6B">
        <w:rPr>
          <w:rFonts w:asciiTheme="minorHAnsi" w:hAnsiTheme="minorHAnsi" w:cs="Tahoma"/>
          <w:color w:val="000000" w:themeColor="text1"/>
        </w:rPr>
        <w:t xml:space="preserve">Health Boards </w:t>
      </w:r>
      <w:r w:rsidR="00F12689" w:rsidRPr="066D4B6B">
        <w:rPr>
          <w:rFonts w:asciiTheme="minorHAnsi" w:hAnsiTheme="minorHAnsi" w:cs="Tahoma"/>
          <w:color w:val="000000" w:themeColor="text1"/>
        </w:rPr>
        <w:t xml:space="preserve">have agreement on the management of IPTRs within </w:t>
      </w:r>
      <w:r w:rsidR="00B24434" w:rsidRPr="066D4B6B">
        <w:rPr>
          <w:rFonts w:asciiTheme="minorHAnsi" w:hAnsiTheme="minorHAnsi" w:cs="Tahoma"/>
          <w:color w:val="000000" w:themeColor="text1"/>
        </w:rPr>
        <w:t>each other’s</w:t>
      </w:r>
      <w:r w:rsidRPr="066D4B6B">
        <w:rPr>
          <w:rFonts w:asciiTheme="minorHAnsi" w:hAnsiTheme="minorHAnsi" w:cs="Tahoma"/>
          <w:color w:val="000000" w:themeColor="text1"/>
        </w:rPr>
        <w:t xml:space="preserve"> Boards. The host Board is the one</w:t>
      </w:r>
      <w:r w:rsidR="00F12689" w:rsidRPr="066D4B6B">
        <w:rPr>
          <w:rFonts w:asciiTheme="minorHAnsi" w:hAnsiTheme="minorHAnsi" w:cs="Tahoma"/>
          <w:color w:val="000000" w:themeColor="text1"/>
        </w:rPr>
        <w:t xml:space="preserve"> </w:t>
      </w:r>
      <w:r w:rsidRPr="066D4B6B">
        <w:rPr>
          <w:rFonts w:asciiTheme="minorHAnsi" w:hAnsiTheme="minorHAnsi" w:cs="Tahoma"/>
          <w:color w:val="000000" w:themeColor="text1"/>
        </w:rPr>
        <w:t>to which</w:t>
      </w:r>
      <w:r w:rsidR="00F12689" w:rsidRPr="066D4B6B">
        <w:rPr>
          <w:rFonts w:asciiTheme="minorHAnsi" w:hAnsiTheme="minorHAnsi" w:cs="Tahoma"/>
          <w:color w:val="000000" w:themeColor="text1"/>
        </w:rPr>
        <w:t xml:space="preserve"> the </w:t>
      </w:r>
      <w:r w:rsidR="001261E4" w:rsidRPr="066D4B6B">
        <w:rPr>
          <w:rFonts w:asciiTheme="minorHAnsi" w:hAnsiTheme="minorHAnsi" w:cs="Tahoma"/>
          <w:color w:val="000000" w:themeColor="text1"/>
        </w:rPr>
        <w:t>patient has been referred from a home Board</w:t>
      </w:r>
      <w:r w:rsidRPr="066D4B6B">
        <w:rPr>
          <w:rFonts w:asciiTheme="minorHAnsi" w:hAnsiTheme="minorHAnsi" w:cs="Tahoma"/>
          <w:color w:val="000000" w:themeColor="text1"/>
        </w:rPr>
        <w:t>. The host Board</w:t>
      </w:r>
      <w:r w:rsidR="001261E4" w:rsidRPr="066D4B6B">
        <w:rPr>
          <w:rFonts w:asciiTheme="minorHAnsi" w:hAnsiTheme="minorHAnsi" w:cs="Tahoma"/>
          <w:color w:val="000000" w:themeColor="text1"/>
        </w:rPr>
        <w:t xml:space="preserve"> </w:t>
      </w:r>
      <w:r w:rsidRPr="066D4B6B">
        <w:rPr>
          <w:rFonts w:asciiTheme="minorHAnsi" w:hAnsiTheme="minorHAnsi" w:cs="Tahoma"/>
          <w:color w:val="000000" w:themeColor="text1"/>
        </w:rPr>
        <w:t xml:space="preserve">(in this case NHSGGC) </w:t>
      </w:r>
      <w:r w:rsidR="001261E4" w:rsidRPr="066D4B6B">
        <w:rPr>
          <w:rFonts w:asciiTheme="minorHAnsi" w:hAnsiTheme="minorHAnsi" w:cs="Tahoma"/>
          <w:color w:val="000000" w:themeColor="text1"/>
        </w:rPr>
        <w:t xml:space="preserve">and </w:t>
      </w:r>
      <w:r w:rsidRPr="066D4B6B">
        <w:rPr>
          <w:rFonts w:asciiTheme="minorHAnsi" w:hAnsiTheme="minorHAnsi" w:cs="Tahoma"/>
          <w:color w:val="000000" w:themeColor="text1"/>
        </w:rPr>
        <w:t xml:space="preserve">the host Board’s </w:t>
      </w:r>
      <w:r w:rsidR="001261E4" w:rsidRPr="066D4B6B">
        <w:rPr>
          <w:rFonts w:asciiTheme="minorHAnsi" w:hAnsiTheme="minorHAnsi" w:cs="Tahoma"/>
          <w:color w:val="000000" w:themeColor="text1"/>
        </w:rPr>
        <w:t xml:space="preserve">Clinician assume responsibility for the patient’s care. Two separate </w:t>
      </w:r>
      <w:r w:rsidRPr="066D4B6B">
        <w:rPr>
          <w:rFonts w:asciiTheme="minorHAnsi" w:hAnsiTheme="minorHAnsi" w:cs="Tahoma"/>
          <w:color w:val="000000" w:themeColor="text1"/>
        </w:rPr>
        <w:t xml:space="preserve">mechanisms </w:t>
      </w:r>
      <w:r w:rsidR="001261E4" w:rsidRPr="066D4B6B">
        <w:rPr>
          <w:rFonts w:asciiTheme="minorHAnsi" w:hAnsiTheme="minorHAnsi" w:cs="Tahoma"/>
          <w:color w:val="000000" w:themeColor="text1"/>
        </w:rPr>
        <w:t xml:space="preserve">will </w:t>
      </w:r>
      <w:r w:rsidRPr="066D4B6B">
        <w:rPr>
          <w:rFonts w:asciiTheme="minorHAnsi" w:hAnsiTheme="minorHAnsi" w:cs="Tahoma"/>
          <w:color w:val="000000" w:themeColor="text1"/>
        </w:rPr>
        <w:t xml:space="preserve">be </w:t>
      </w:r>
      <w:r w:rsidR="001261E4" w:rsidRPr="066D4B6B">
        <w:rPr>
          <w:rFonts w:asciiTheme="minorHAnsi" w:hAnsiTheme="minorHAnsi" w:cs="Tahoma"/>
          <w:color w:val="000000" w:themeColor="text1"/>
        </w:rPr>
        <w:t>appl</w:t>
      </w:r>
      <w:r w:rsidRPr="066D4B6B">
        <w:rPr>
          <w:rFonts w:asciiTheme="minorHAnsi" w:hAnsiTheme="minorHAnsi" w:cs="Tahoma"/>
          <w:color w:val="000000" w:themeColor="text1"/>
        </w:rPr>
        <w:t>ied,</w:t>
      </w:r>
      <w:r w:rsidR="001261E4" w:rsidRPr="066D4B6B">
        <w:rPr>
          <w:rFonts w:asciiTheme="minorHAnsi" w:hAnsiTheme="minorHAnsi" w:cs="Tahoma"/>
          <w:color w:val="000000" w:themeColor="text1"/>
        </w:rPr>
        <w:t xml:space="preserve"> dependent on the cost per patient treatment or cost per patient per annum for continuing treatment:</w:t>
      </w:r>
    </w:p>
    <w:p w14:paraId="41631E44" w14:textId="77777777" w:rsidR="001261E4" w:rsidRPr="002B2E05" w:rsidRDefault="001261E4" w:rsidP="001261E4">
      <w:pPr>
        <w:ind w:right="-56"/>
        <w:jc w:val="both"/>
        <w:rPr>
          <w:rFonts w:asciiTheme="minorHAnsi" w:hAnsiTheme="minorHAnsi" w:cs="Tahoma"/>
          <w:color w:val="000000"/>
        </w:rPr>
      </w:pPr>
    </w:p>
    <w:p w14:paraId="41631E45" w14:textId="77777777" w:rsidR="001261E4" w:rsidRPr="002B2E05" w:rsidRDefault="001261E4" w:rsidP="001261E4">
      <w:pPr>
        <w:ind w:right="-56"/>
        <w:jc w:val="both"/>
        <w:rPr>
          <w:rFonts w:asciiTheme="minorHAnsi" w:hAnsiTheme="minorHAnsi" w:cs="Tahoma"/>
          <w:color w:val="000000"/>
        </w:rPr>
      </w:pPr>
      <w:r w:rsidRPr="002B2E05">
        <w:rPr>
          <w:rFonts w:asciiTheme="minorHAnsi" w:hAnsiTheme="minorHAnsi" w:cs="Tahoma"/>
          <w:color w:val="000000"/>
        </w:rPr>
        <w:t>(a) &lt; £25,000</w:t>
      </w:r>
    </w:p>
    <w:p w14:paraId="41631E46" w14:textId="74823D8B" w:rsidR="001261E4" w:rsidRPr="002B2E05" w:rsidRDefault="001261E4" w:rsidP="066D4B6B">
      <w:pPr>
        <w:ind w:right="-56"/>
        <w:jc w:val="both"/>
        <w:rPr>
          <w:rFonts w:asciiTheme="minorHAnsi" w:hAnsiTheme="minorHAnsi" w:cs="Tahoma"/>
          <w:color w:val="000000"/>
        </w:rPr>
      </w:pPr>
      <w:r w:rsidRPr="066D4B6B">
        <w:rPr>
          <w:rFonts w:asciiTheme="minorHAnsi" w:hAnsiTheme="minorHAnsi" w:cs="Tahoma"/>
          <w:color w:val="000000" w:themeColor="text1"/>
        </w:rPr>
        <w:t xml:space="preserve">The standard NHSGGC procedures will apply, with notification of the decision to the Medical Director of the </w:t>
      </w:r>
      <w:r w:rsidR="00603CB0" w:rsidRPr="066D4B6B">
        <w:rPr>
          <w:rFonts w:asciiTheme="minorHAnsi" w:hAnsiTheme="minorHAnsi" w:cs="Tahoma"/>
          <w:color w:val="000000" w:themeColor="text1"/>
        </w:rPr>
        <w:t>h</w:t>
      </w:r>
      <w:r w:rsidRPr="066D4B6B">
        <w:rPr>
          <w:rFonts w:asciiTheme="minorHAnsi" w:hAnsiTheme="minorHAnsi" w:cs="Tahoma"/>
          <w:color w:val="000000" w:themeColor="text1"/>
        </w:rPr>
        <w:t>ome Board (or nominee) at the conclusion of the Panel review</w:t>
      </w:r>
    </w:p>
    <w:p w14:paraId="41631E47" w14:textId="77777777" w:rsidR="001261E4" w:rsidRPr="002B2E05" w:rsidRDefault="001261E4" w:rsidP="001261E4">
      <w:pPr>
        <w:ind w:right="-56"/>
        <w:jc w:val="both"/>
        <w:rPr>
          <w:rFonts w:asciiTheme="minorHAnsi" w:hAnsiTheme="minorHAnsi" w:cs="Tahoma"/>
          <w:color w:val="000000"/>
        </w:rPr>
      </w:pPr>
    </w:p>
    <w:p w14:paraId="41631E48" w14:textId="77777777" w:rsidR="001261E4" w:rsidRPr="002B2E05" w:rsidRDefault="001261E4" w:rsidP="001261E4">
      <w:pPr>
        <w:ind w:right="-56"/>
        <w:jc w:val="both"/>
        <w:rPr>
          <w:rFonts w:asciiTheme="minorHAnsi" w:hAnsiTheme="minorHAnsi" w:cs="Tahoma"/>
          <w:color w:val="000000"/>
          <w:u w:val="single"/>
        </w:rPr>
      </w:pPr>
      <w:r w:rsidRPr="002B2E05">
        <w:rPr>
          <w:rFonts w:asciiTheme="minorHAnsi" w:hAnsiTheme="minorHAnsi" w:cs="Tahoma"/>
          <w:color w:val="000000"/>
        </w:rPr>
        <w:t>(b) ≥ £25,000</w:t>
      </w:r>
    </w:p>
    <w:p w14:paraId="41631E49" w14:textId="77777777" w:rsidR="001261E4" w:rsidRPr="002B2E05" w:rsidRDefault="001261E4" w:rsidP="001261E4">
      <w:pPr>
        <w:ind w:right="-56"/>
        <w:jc w:val="both"/>
        <w:rPr>
          <w:rFonts w:asciiTheme="minorHAnsi" w:hAnsiTheme="minorHAnsi" w:cs="Tahoma"/>
          <w:color w:val="000000"/>
          <w:u w:val="single"/>
        </w:rPr>
      </w:pPr>
      <w:r w:rsidRPr="002B2E05">
        <w:rPr>
          <w:rFonts w:asciiTheme="minorHAnsi" w:hAnsiTheme="minorHAnsi" w:cs="Tahoma"/>
          <w:color w:val="000000"/>
        </w:rPr>
        <w:t xml:space="preserve">An invitation will be extended to the Medical Director of the </w:t>
      </w:r>
      <w:r w:rsidR="00603CB0" w:rsidRPr="002B2E05">
        <w:rPr>
          <w:rFonts w:asciiTheme="minorHAnsi" w:hAnsiTheme="minorHAnsi" w:cs="Tahoma"/>
          <w:color w:val="000000"/>
        </w:rPr>
        <w:t xml:space="preserve">home </w:t>
      </w:r>
      <w:r w:rsidRPr="002B2E05">
        <w:rPr>
          <w:rFonts w:asciiTheme="minorHAnsi" w:hAnsiTheme="minorHAnsi" w:cs="Tahoma"/>
          <w:color w:val="000000"/>
        </w:rPr>
        <w:t>Board (or their nominee) to participate as a Panel Member with full voting rights.</w:t>
      </w:r>
    </w:p>
    <w:p w14:paraId="41631E4A" w14:textId="77777777" w:rsidR="001261E4" w:rsidRPr="002B2E05" w:rsidRDefault="001261E4" w:rsidP="001261E4">
      <w:pPr>
        <w:ind w:right="-56"/>
        <w:jc w:val="both"/>
        <w:rPr>
          <w:rFonts w:asciiTheme="minorHAnsi" w:hAnsiTheme="minorHAnsi"/>
          <w:color w:val="000000"/>
        </w:rPr>
      </w:pPr>
    </w:p>
    <w:p w14:paraId="41631E4B" w14:textId="33F90313" w:rsidR="001261E4" w:rsidRPr="002B2E05" w:rsidRDefault="001261E4" w:rsidP="066D4B6B">
      <w:pPr>
        <w:ind w:right="-56"/>
        <w:jc w:val="both"/>
        <w:rPr>
          <w:rFonts w:asciiTheme="minorHAnsi" w:hAnsiTheme="minorHAnsi" w:cs="Tahoma"/>
          <w:color w:val="000000"/>
        </w:rPr>
      </w:pPr>
      <w:r w:rsidRPr="066D4B6B">
        <w:rPr>
          <w:rFonts w:asciiTheme="minorHAnsi" w:hAnsiTheme="minorHAnsi" w:cs="Tahoma"/>
          <w:color w:val="000000" w:themeColor="text1"/>
        </w:rPr>
        <w:t xml:space="preserve">The decision of NHSGGC </w:t>
      </w:r>
      <w:r w:rsidR="00846AE1" w:rsidRPr="066D4B6B">
        <w:rPr>
          <w:rFonts w:asciiTheme="minorHAnsi" w:hAnsiTheme="minorHAnsi" w:cs="Tahoma"/>
          <w:color w:val="000000" w:themeColor="text1"/>
        </w:rPr>
        <w:t>P</w:t>
      </w:r>
      <w:r w:rsidRPr="066D4B6B">
        <w:rPr>
          <w:rFonts w:asciiTheme="minorHAnsi" w:hAnsiTheme="minorHAnsi" w:cs="Tahoma"/>
          <w:color w:val="000000" w:themeColor="text1"/>
        </w:rPr>
        <w:t xml:space="preserve">anel will be final and not subject to a further review at home Board level. </w:t>
      </w:r>
    </w:p>
    <w:p w14:paraId="41631E4C" w14:textId="77777777" w:rsidR="001261E4" w:rsidRPr="002B2E05" w:rsidRDefault="001261E4" w:rsidP="001261E4">
      <w:pPr>
        <w:ind w:right="-56"/>
        <w:jc w:val="both"/>
        <w:rPr>
          <w:rFonts w:asciiTheme="minorHAnsi" w:hAnsiTheme="minorHAnsi" w:cs="Tahoma"/>
          <w:color w:val="000000"/>
        </w:rPr>
      </w:pPr>
      <w:r w:rsidRPr="002B2E05">
        <w:rPr>
          <w:rFonts w:asciiTheme="minorHAnsi" w:hAnsiTheme="minorHAnsi" w:cs="Tahoma"/>
          <w:color w:val="000000"/>
        </w:rPr>
        <w:t xml:space="preserve">Following receipt of a decision from an </w:t>
      </w:r>
      <w:r w:rsidR="005F194C" w:rsidRPr="002B2E05">
        <w:rPr>
          <w:rFonts w:asciiTheme="minorHAnsi" w:hAnsiTheme="minorHAnsi" w:cs="Tahoma"/>
          <w:color w:val="000000"/>
        </w:rPr>
        <w:t>IPTR</w:t>
      </w:r>
      <w:r w:rsidRPr="002B2E05">
        <w:rPr>
          <w:rFonts w:asciiTheme="minorHAnsi" w:hAnsiTheme="minorHAnsi" w:cs="Tahoma"/>
          <w:color w:val="000000"/>
        </w:rPr>
        <w:t xml:space="preserve">, the </w:t>
      </w:r>
      <w:r w:rsidR="00603CB0" w:rsidRPr="002B2E05">
        <w:rPr>
          <w:rFonts w:asciiTheme="minorHAnsi" w:hAnsiTheme="minorHAnsi" w:cs="Tahoma"/>
          <w:color w:val="000000"/>
        </w:rPr>
        <w:t>h</w:t>
      </w:r>
      <w:r w:rsidRPr="002B2E05">
        <w:rPr>
          <w:rFonts w:asciiTheme="minorHAnsi" w:hAnsiTheme="minorHAnsi" w:cs="Tahoma"/>
          <w:color w:val="000000"/>
        </w:rPr>
        <w:t xml:space="preserve">ome Board has the opportunity of providing feedback to inform the process for future </w:t>
      </w:r>
      <w:r w:rsidR="005F194C" w:rsidRPr="002B2E05">
        <w:rPr>
          <w:rFonts w:asciiTheme="minorHAnsi" w:hAnsiTheme="minorHAnsi" w:cs="Tahoma"/>
          <w:color w:val="000000"/>
        </w:rPr>
        <w:t xml:space="preserve">IPTR </w:t>
      </w:r>
      <w:r w:rsidR="00846AE1" w:rsidRPr="002B2E05">
        <w:rPr>
          <w:rFonts w:asciiTheme="minorHAnsi" w:hAnsiTheme="minorHAnsi" w:cs="Tahoma"/>
          <w:color w:val="000000"/>
        </w:rPr>
        <w:t>P</w:t>
      </w:r>
      <w:r w:rsidR="005F194C" w:rsidRPr="002B2E05">
        <w:rPr>
          <w:rFonts w:asciiTheme="minorHAnsi" w:hAnsiTheme="minorHAnsi" w:cs="Tahoma"/>
          <w:color w:val="000000"/>
        </w:rPr>
        <w:t>anels</w:t>
      </w:r>
      <w:r w:rsidRPr="002B2E05">
        <w:rPr>
          <w:rFonts w:asciiTheme="minorHAnsi" w:hAnsiTheme="minorHAnsi" w:cs="Tahoma"/>
          <w:color w:val="000000"/>
        </w:rPr>
        <w:t>.</w:t>
      </w:r>
    </w:p>
    <w:p w14:paraId="41631E4D" w14:textId="77777777" w:rsidR="00F12689" w:rsidRPr="002B2E05" w:rsidRDefault="00F12689" w:rsidP="001261E4">
      <w:pPr>
        <w:ind w:right="-56"/>
        <w:jc w:val="both"/>
        <w:rPr>
          <w:rFonts w:asciiTheme="minorHAnsi" w:hAnsiTheme="minorHAnsi" w:cs="Tahoma"/>
          <w:color w:val="000000"/>
        </w:rPr>
      </w:pPr>
    </w:p>
    <w:p w14:paraId="41631E4E" w14:textId="6016E955" w:rsidR="00636E4E" w:rsidRPr="002B2E05" w:rsidRDefault="00603CB0" w:rsidP="066D4B6B">
      <w:pPr>
        <w:ind w:right="-56"/>
        <w:jc w:val="both"/>
        <w:rPr>
          <w:rFonts w:asciiTheme="minorHAnsi" w:hAnsiTheme="minorHAnsi" w:cs="Tahoma"/>
          <w:color w:val="000000"/>
        </w:rPr>
      </w:pPr>
      <w:r w:rsidRPr="066D4B6B">
        <w:rPr>
          <w:rFonts w:asciiTheme="minorHAnsi" w:hAnsiTheme="minorHAnsi" w:cs="Tahoma"/>
          <w:color w:val="000000" w:themeColor="text1"/>
        </w:rPr>
        <w:t xml:space="preserve">Note: </w:t>
      </w:r>
      <w:r w:rsidR="00F12689" w:rsidRPr="066D4B6B">
        <w:rPr>
          <w:rFonts w:asciiTheme="minorHAnsi" w:hAnsiTheme="minorHAnsi" w:cs="Tahoma"/>
          <w:color w:val="000000" w:themeColor="text1"/>
        </w:rPr>
        <w:t>NHS Highland requires patients referred to NHS</w:t>
      </w:r>
      <w:r w:rsidR="00636E4E" w:rsidRPr="066D4B6B">
        <w:rPr>
          <w:rFonts w:asciiTheme="minorHAnsi" w:hAnsiTheme="minorHAnsi" w:cs="Tahoma"/>
          <w:color w:val="000000" w:themeColor="text1"/>
        </w:rPr>
        <w:t>GGC for treatment to submit any</w:t>
      </w:r>
      <w:r w:rsidR="00F12689" w:rsidRPr="066D4B6B">
        <w:rPr>
          <w:rFonts w:asciiTheme="minorHAnsi" w:hAnsiTheme="minorHAnsi" w:cs="Tahoma"/>
          <w:color w:val="000000" w:themeColor="text1"/>
        </w:rPr>
        <w:t xml:space="preserve"> IPTR directly to </w:t>
      </w:r>
      <w:r w:rsidRPr="066D4B6B">
        <w:rPr>
          <w:rFonts w:asciiTheme="minorHAnsi" w:hAnsiTheme="minorHAnsi" w:cs="Tahoma"/>
          <w:color w:val="000000" w:themeColor="text1"/>
        </w:rPr>
        <w:t>NHS Highland</w:t>
      </w:r>
      <w:r w:rsidR="00636E4E" w:rsidRPr="066D4B6B">
        <w:rPr>
          <w:rFonts w:asciiTheme="minorHAnsi" w:hAnsiTheme="minorHAnsi" w:cs="Tahoma"/>
          <w:color w:val="000000" w:themeColor="text1"/>
        </w:rPr>
        <w:t xml:space="preserve"> for consideration.  Details for the IPTR process in NHS Highland, including the documentation to be used</w:t>
      </w:r>
      <w:r w:rsidRPr="066D4B6B">
        <w:rPr>
          <w:rFonts w:asciiTheme="minorHAnsi" w:hAnsiTheme="minorHAnsi" w:cs="Tahoma"/>
          <w:color w:val="000000" w:themeColor="text1"/>
        </w:rPr>
        <w:t>,</w:t>
      </w:r>
      <w:r w:rsidR="00636E4E" w:rsidRPr="066D4B6B">
        <w:rPr>
          <w:rFonts w:asciiTheme="minorHAnsi" w:hAnsiTheme="minorHAnsi" w:cs="Tahoma"/>
          <w:color w:val="000000" w:themeColor="text1"/>
        </w:rPr>
        <w:t xml:space="preserve"> can be accessed via the NHS Highland website (</w:t>
      </w:r>
      <w:hyperlink r:id="rId18">
        <w:r w:rsidR="00636E4E" w:rsidRPr="066D4B6B">
          <w:rPr>
            <w:rStyle w:val="Hyperlink"/>
            <w:rFonts w:asciiTheme="minorHAnsi" w:hAnsiTheme="minorHAnsi" w:cs="Tahoma"/>
          </w:rPr>
          <w:t>www.nhshighland.scot.nhs.uk</w:t>
        </w:r>
      </w:hyperlink>
      <w:r w:rsidR="00636E4E" w:rsidRPr="066D4B6B">
        <w:rPr>
          <w:rFonts w:asciiTheme="minorHAnsi" w:hAnsiTheme="minorHAnsi" w:cs="Tahoma"/>
          <w:color w:val="000000" w:themeColor="text1"/>
        </w:rPr>
        <w:t xml:space="preserve">). </w:t>
      </w:r>
    </w:p>
    <w:p w14:paraId="41631E4F" w14:textId="77777777" w:rsidR="001261E4" w:rsidRDefault="001261E4" w:rsidP="001261E4">
      <w:pPr>
        <w:ind w:right="-56"/>
        <w:jc w:val="both"/>
        <w:rPr>
          <w:rFonts w:asciiTheme="minorHAnsi" w:hAnsiTheme="minorHAnsi" w:cs="Tahoma"/>
        </w:rPr>
      </w:pPr>
    </w:p>
    <w:p w14:paraId="41631E50" w14:textId="7C68CE42" w:rsidR="001E5E58" w:rsidRDefault="0004335C" w:rsidP="066D4B6B">
      <w:pPr>
        <w:ind w:right="-56"/>
        <w:jc w:val="both"/>
        <w:rPr>
          <w:rFonts w:asciiTheme="minorHAnsi" w:hAnsiTheme="minorHAnsi" w:cs="Tahoma"/>
        </w:rPr>
      </w:pPr>
      <w:r>
        <w:rPr>
          <w:rStyle w:val="normaltextrun"/>
          <w:rFonts w:ascii="Calibri" w:hAnsi="Calibri" w:cs="Calibri"/>
          <w:color w:val="000000"/>
          <w:bdr w:val="none" w:sz="0" w:space="0" w:color="auto" w:frame="1"/>
        </w:rPr>
        <w:t>The agreement described above is only relevant to West of Scotland health boards.  When an IPTR request for a patient from other health boards is received in NHSGGC, the relevant board should be linked with to establish the agreed mechanism for considering the request</w:t>
      </w:r>
    </w:p>
    <w:p w14:paraId="41631E51" w14:textId="77777777" w:rsidR="001E5E58" w:rsidRDefault="001E5E58" w:rsidP="001261E4">
      <w:pPr>
        <w:ind w:right="-56"/>
        <w:jc w:val="both"/>
        <w:rPr>
          <w:rFonts w:asciiTheme="minorHAnsi" w:hAnsiTheme="minorHAnsi" w:cs="Tahoma"/>
        </w:rPr>
      </w:pPr>
    </w:p>
    <w:p w14:paraId="41631E52" w14:textId="77777777" w:rsidR="001E5E58" w:rsidRDefault="001E5E58" w:rsidP="001261E4">
      <w:pPr>
        <w:ind w:right="-56"/>
        <w:jc w:val="both"/>
        <w:rPr>
          <w:rFonts w:asciiTheme="minorHAnsi" w:hAnsiTheme="minorHAnsi" w:cs="Tahoma"/>
        </w:rPr>
      </w:pPr>
    </w:p>
    <w:p w14:paraId="41631E53" w14:textId="77777777" w:rsidR="001E5E58" w:rsidRPr="002B2E05" w:rsidRDefault="001E5E58" w:rsidP="001261E4">
      <w:pPr>
        <w:ind w:right="-56"/>
        <w:jc w:val="both"/>
        <w:rPr>
          <w:rFonts w:asciiTheme="minorHAnsi" w:hAnsiTheme="minorHAnsi" w:cs="Tahoma"/>
        </w:rPr>
      </w:pPr>
    </w:p>
    <w:p w14:paraId="41631E54" w14:textId="398CEA85" w:rsidR="001261E4" w:rsidRPr="002B2E05" w:rsidRDefault="001261E4" w:rsidP="066D4B6B">
      <w:pPr>
        <w:pStyle w:val="BodyText"/>
        <w:numPr>
          <w:ilvl w:val="0"/>
          <w:numId w:val="21"/>
        </w:numPr>
        <w:pBdr>
          <w:top w:val="single" w:sz="4" w:space="1" w:color="auto"/>
        </w:pBdr>
        <w:jc w:val="both"/>
        <w:rPr>
          <w:rFonts w:asciiTheme="minorHAnsi" w:hAnsiTheme="minorHAnsi" w:cstheme="minorBidi"/>
          <w:color w:val="1F497D"/>
        </w:rPr>
      </w:pPr>
      <w:r w:rsidRPr="066D4B6B">
        <w:rPr>
          <w:rFonts w:asciiTheme="minorHAnsi" w:hAnsiTheme="minorHAnsi" w:cstheme="minorBidi"/>
          <w:color w:val="1F497D" w:themeColor="text2"/>
        </w:rPr>
        <w:t>A</w:t>
      </w:r>
      <w:r w:rsidR="001E5E58" w:rsidRPr="066D4B6B">
        <w:rPr>
          <w:rFonts w:asciiTheme="minorHAnsi" w:hAnsiTheme="minorHAnsi" w:cstheme="minorBidi"/>
          <w:color w:val="1F497D" w:themeColor="text2"/>
        </w:rPr>
        <w:t>pplication for patients referred to Health Boards / Trusts outwith NHSGGC</w:t>
      </w:r>
    </w:p>
    <w:p w14:paraId="41631E55" w14:textId="77777777" w:rsidR="001E5E58" w:rsidRDefault="001E5E58" w:rsidP="001261E4">
      <w:pPr>
        <w:ind w:right="-56"/>
        <w:jc w:val="both"/>
        <w:rPr>
          <w:rFonts w:asciiTheme="minorHAnsi" w:hAnsiTheme="minorHAnsi" w:cs="Tahoma"/>
        </w:rPr>
      </w:pPr>
    </w:p>
    <w:p w14:paraId="41631E56" w14:textId="6A6FD1EA" w:rsidR="001261E4" w:rsidRPr="002B2E05" w:rsidRDefault="001261E4" w:rsidP="066D4B6B">
      <w:pPr>
        <w:ind w:right="-56"/>
        <w:jc w:val="both"/>
        <w:rPr>
          <w:rFonts w:asciiTheme="minorHAnsi" w:hAnsiTheme="minorHAnsi" w:cs="Tahoma"/>
        </w:rPr>
      </w:pPr>
      <w:r w:rsidRPr="066D4B6B">
        <w:rPr>
          <w:rFonts w:asciiTheme="minorHAnsi" w:hAnsiTheme="minorHAnsi" w:cs="Tahoma"/>
        </w:rPr>
        <w:t>In circumstances where a patient</w:t>
      </w:r>
      <w:r w:rsidR="00B01BD6" w:rsidRPr="066D4B6B">
        <w:rPr>
          <w:rFonts w:asciiTheme="minorHAnsi" w:hAnsiTheme="minorHAnsi" w:cs="Tahoma"/>
        </w:rPr>
        <w:t xml:space="preserve"> is referred to a clinician </w:t>
      </w:r>
      <w:proofErr w:type="spellStart"/>
      <w:r w:rsidR="00B01BD6" w:rsidRPr="066D4B6B">
        <w:rPr>
          <w:rFonts w:asciiTheme="minorHAnsi" w:hAnsiTheme="minorHAnsi" w:cs="Tahoma"/>
        </w:rPr>
        <w:t>out</w:t>
      </w:r>
      <w:r w:rsidRPr="066D4B6B">
        <w:rPr>
          <w:rFonts w:asciiTheme="minorHAnsi" w:hAnsiTheme="minorHAnsi" w:cs="Tahoma"/>
        </w:rPr>
        <w:t>with</w:t>
      </w:r>
      <w:proofErr w:type="spellEnd"/>
      <w:r w:rsidRPr="066D4B6B">
        <w:rPr>
          <w:rFonts w:asciiTheme="minorHAnsi" w:hAnsiTheme="minorHAnsi" w:cs="Tahoma"/>
        </w:rPr>
        <w:t xml:space="preserve"> NHSGGC for advice, but the responsibility of prescribing remains with the local clinician, NHSGGC Formulary processes will apply, including the completion of a</w:t>
      </w:r>
      <w:r w:rsidR="000C224F" w:rsidRPr="066D4B6B">
        <w:rPr>
          <w:rFonts w:asciiTheme="minorHAnsi" w:hAnsiTheme="minorHAnsi" w:cs="Tahoma"/>
        </w:rPr>
        <w:t>n</w:t>
      </w:r>
      <w:r w:rsidRPr="066D4B6B">
        <w:rPr>
          <w:rFonts w:asciiTheme="minorHAnsi" w:hAnsiTheme="minorHAnsi" w:cs="Tahoma"/>
        </w:rPr>
        <w:t xml:space="preserve"> IPTR application. This advice will form part of the evidence for consideration by the NHSGGC Panel.  </w:t>
      </w:r>
    </w:p>
    <w:p w14:paraId="41631E57" w14:textId="77777777" w:rsidR="001261E4" w:rsidRPr="002B2E05" w:rsidRDefault="001261E4" w:rsidP="001261E4">
      <w:pPr>
        <w:ind w:right="-56"/>
        <w:jc w:val="both"/>
        <w:rPr>
          <w:rFonts w:asciiTheme="minorHAnsi" w:hAnsiTheme="minorHAnsi" w:cs="Tahoma"/>
        </w:rPr>
      </w:pPr>
    </w:p>
    <w:p w14:paraId="41631E58" w14:textId="6DE6C30B" w:rsidR="001261E4" w:rsidRPr="002B2E05" w:rsidRDefault="001261E4" w:rsidP="066D4B6B">
      <w:pPr>
        <w:ind w:right="-56"/>
        <w:jc w:val="both"/>
        <w:rPr>
          <w:rFonts w:asciiTheme="minorHAnsi" w:hAnsiTheme="minorHAnsi" w:cs="Tahoma"/>
        </w:rPr>
      </w:pPr>
      <w:r w:rsidRPr="066D4B6B">
        <w:rPr>
          <w:rFonts w:asciiTheme="minorHAnsi" w:hAnsiTheme="minorHAnsi" w:cs="Tahoma"/>
        </w:rPr>
        <w:t xml:space="preserve">In circumstances where a patient is referred to a clinician </w:t>
      </w:r>
      <w:proofErr w:type="spellStart"/>
      <w:r w:rsidRPr="066D4B6B">
        <w:rPr>
          <w:rFonts w:asciiTheme="minorHAnsi" w:hAnsiTheme="minorHAnsi" w:cs="Tahoma"/>
        </w:rPr>
        <w:t>outwith</w:t>
      </w:r>
      <w:proofErr w:type="spellEnd"/>
      <w:r w:rsidRPr="066D4B6B">
        <w:rPr>
          <w:rFonts w:asciiTheme="minorHAnsi" w:hAnsiTheme="minorHAnsi" w:cs="Tahoma"/>
        </w:rPr>
        <w:t xml:space="preserve"> NHSGGC for full clinical responsibility / supervision of care, then NHSGGC will normally abide by the prescribing policies and decisions of the external Board / Trust, although completion of the NHSGGC IPTR documentation is considered good practice for audit and financial control purposes.</w:t>
      </w:r>
    </w:p>
    <w:p w14:paraId="41631E59" w14:textId="77777777" w:rsidR="00827D9A" w:rsidRPr="002B2E05" w:rsidRDefault="00827D9A" w:rsidP="001261E4">
      <w:pPr>
        <w:ind w:right="-56"/>
        <w:jc w:val="both"/>
        <w:rPr>
          <w:rFonts w:asciiTheme="minorHAnsi" w:hAnsiTheme="minorHAnsi" w:cs="Tahoma"/>
        </w:rPr>
      </w:pPr>
    </w:p>
    <w:p w14:paraId="41631E5A" w14:textId="77777777" w:rsidR="001261E4" w:rsidRPr="002B2E05" w:rsidRDefault="001261E4" w:rsidP="001E5E58">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t>Timescale for decision</w:t>
      </w:r>
    </w:p>
    <w:p w14:paraId="41631E5B" w14:textId="77777777" w:rsidR="001E5E58" w:rsidRDefault="001E5E58" w:rsidP="001261E4">
      <w:pPr>
        <w:jc w:val="both"/>
        <w:rPr>
          <w:rFonts w:asciiTheme="minorHAnsi" w:hAnsiTheme="minorHAnsi" w:cs="Tahoma"/>
        </w:rPr>
      </w:pPr>
    </w:p>
    <w:p w14:paraId="41631E5C" w14:textId="77777777" w:rsidR="001261E4" w:rsidRPr="002B2E05" w:rsidRDefault="001261E4" w:rsidP="001261E4">
      <w:pPr>
        <w:jc w:val="both"/>
        <w:rPr>
          <w:rFonts w:asciiTheme="minorHAnsi" w:hAnsiTheme="minorHAnsi" w:cs="Tahoma"/>
        </w:rPr>
      </w:pPr>
      <w:r w:rsidRPr="002B2E05">
        <w:rPr>
          <w:rFonts w:asciiTheme="minorHAnsi" w:hAnsiTheme="minorHAnsi" w:cs="Tahoma"/>
        </w:rPr>
        <w:t xml:space="preserve">Timescales for the decision-making process will be established in accordance with the patient’s clinical needs and be communicated to the patient by the clinician responsible for the patient’s care, following discussion with those involved in dealing with the request.  Upon receipt of an IPTR, in establishing an IPTR </w:t>
      </w:r>
      <w:r w:rsidR="00846AE1" w:rsidRPr="002B2E05">
        <w:rPr>
          <w:rFonts w:asciiTheme="minorHAnsi" w:hAnsiTheme="minorHAnsi" w:cs="Tahoma"/>
        </w:rPr>
        <w:t>P</w:t>
      </w:r>
      <w:r w:rsidRPr="002B2E05">
        <w:rPr>
          <w:rFonts w:asciiTheme="minorHAnsi" w:hAnsiTheme="minorHAnsi" w:cs="Tahoma"/>
        </w:rPr>
        <w:t>anel, due consideration is given to the urgency of the request given the patient’s clinical condition.  A date should be set to review the IPTR and examine the evidence and advise the patient of the date accordingly.</w:t>
      </w:r>
      <w:r w:rsidR="00BD469E" w:rsidRPr="002B2E05">
        <w:rPr>
          <w:rFonts w:asciiTheme="minorHAnsi" w:hAnsiTheme="minorHAnsi" w:cs="Tahoma"/>
        </w:rPr>
        <w:t xml:space="preserve">  The </w:t>
      </w:r>
      <w:r w:rsidR="00AC5530" w:rsidRPr="002B2E05">
        <w:rPr>
          <w:rFonts w:asciiTheme="minorHAnsi" w:hAnsiTheme="minorHAnsi" w:cs="Tahoma"/>
        </w:rPr>
        <w:t xml:space="preserve">aim is for the </w:t>
      </w:r>
      <w:r w:rsidR="00BD469E" w:rsidRPr="002B2E05">
        <w:rPr>
          <w:rFonts w:asciiTheme="minorHAnsi" w:hAnsiTheme="minorHAnsi" w:cs="Tahoma"/>
        </w:rPr>
        <w:t>timescale between the receipt of the</w:t>
      </w:r>
      <w:r w:rsidR="00AC5530" w:rsidRPr="002B2E05">
        <w:rPr>
          <w:rFonts w:asciiTheme="minorHAnsi" w:hAnsiTheme="minorHAnsi" w:cs="Tahoma"/>
        </w:rPr>
        <w:t xml:space="preserve"> IPTR and a decision not to </w:t>
      </w:r>
      <w:r w:rsidR="00BD469E" w:rsidRPr="002B2E05">
        <w:rPr>
          <w:rFonts w:asciiTheme="minorHAnsi" w:hAnsiTheme="minorHAnsi" w:cs="Tahoma"/>
        </w:rPr>
        <w:t>exceed 20 working days</w:t>
      </w:r>
      <w:r w:rsidR="00770F6B" w:rsidRPr="002B2E05">
        <w:rPr>
          <w:rFonts w:asciiTheme="minorHAnsi" w:hAnsiTheme="minorHAnsi" w:cs="Tahoma"/>
        </w:rPr>
        <w:t>.</w:t>
      </w:r>
    </w:p>
    <w:p w14:paraId="41631E5D" w14:textId="77777777" w:rsidR="001261E4" w:rsidRPr="002B2E05" w:rsidRDefault="001261E4" w:rsidP="001261E4">
      <w:pPr>
        <w:jc w:val="both"/>
        <w:rPr>
          <w:rFonts w:asciiTheme="minorHAnsi" w:hAnsiTheme="minorHAnsi" w:cs="Tahoma"/>
        </w:rPr>
      </w:pPr>
    </w:p>
    <w:p w14:paraId="41631E5E" w14:textId="77777777" w:rsidR="001261E4" w:rsidRPr="002B2E05" w:rsidRDefault="001261E4" w:rsidP="001261E4">
      <w:pPr>
        <w:jc w:val="both"/>
        <w:rPr>
          <w:rFonts w:asciiTheme="minorHAnsi" w:hAnsiTheme="minorHAnsi" w:cs="Tahoma"/>
        </w:rPr>
      </w:pPr>
      <w:r w:rsidRPr="002B2E05">
        <w:rPr>
          <w:rFonts w:asciiTheme="minorHAnsi" w:hAnsiTheme="minorHAnsi" w:cs="Tahoma"/>
        </w:rPr>
        <w:t xml:space="preserve">There may be cases where an IPTR is considered an emergency and there is not sufficient time to fulfil the </w:t>
      </w:r>
      <w:r w:rsidR="00B01BD6" w:rsidRPr="002B2E05">
        <w:rPr>
          <w:rFonts w:asciiTheme="minorHAnsi" w:hAnsiTheme="minorHAnsi" w:cs="Tahoma"/>
        </w:rPr>
        <w:t xml:space="preserve">formal </w:t>
      </w:r>
      <w:r w:rsidRPr="002B2E05">
        <w:rPr>
          <w:rFonts w:asciiTheme="minorHAnsi" w:hAnsiTheme="minorHAnsi" w:cs="Tahoma"/>
        </w:rPr>
        <w:t xml:space="preserve">process.  In these cases, the </w:t>
      </w:r>
      <w:r w:rsidR="008C4E4A" w:rsidRPr="002B2E05">
        <w:rPr>
          <w:rFonts w:asciiTheme="minorHAnsi" w:hAnsiTheme="minorHAnsi" w:cs="Tahoma"/>
        </w:rPr>
        <w:t>Chief of Medicine</w:t>
      </w:r>
      <w:r w:rsidRPr="002B2E05">
        <w:rPr>
          <w:rFonts w:asciiTheme="minorHAnsi" w:hAnsiTheme="minorHAnsi" w:cs="Tahoma"/>
        </w:rPr>
        <w:t xml:space="preserve"> (or nominated deputy) will be required to make a rapid assessment about the appropriateness of the request and approve the use of the medicine on a short-term basis to allow time for the full approval process to be completed.  </w:t>
      </w:r>
      <w:proofErr w:type="gramStart"/>
      <w:r w:rsidRPr="002B2E05">
        <w:rPr>
          <w:rFonts w:asciiTheme="minorHAnsi" w:hAnsiTheme="minorHAnsi" w:cs="Tahoma"/>
        </w:rPr>
        <w:t>It should be understood that a</w:t>
      </w:r>
      <w:proofErr w:type="gramEnd"/>
      <w:r w:rsidRPr="002B2E05">
        <w:rPr>
          <w:rFonts w:asciiTheme="minorHAnsi" w:hAnsiTheme="minorHAnsi" w:cs="Tahoma"/>
        </w:rPr>
        <w:t xml:space="preserve"> decision to approve an IPTR in these circumstances will not imply a commitment to further prescribing when a full application and evaluation </w:t>
      </w:r>
      <w:proofErr w:type="gramStart"/>
      <w:r w:rsidRPr="002B2E05">
        <w:rPr>
          <w:rFonts w:asciiTheme="minorHAnsi" w:hAnsiTheme="minorHAnsi" w:cs="Tahoma"/>
        </w:rPr>
        <w:t>takes</w:t>
      </w:r>
      <w:proofErr w:type="gramEnd"/>
      <w:r w:rsidRPr="002B2E05">
        <w:rPr>
          <w:rFonts w:asciiTheme="minorHAnsi" w:hAnsiTheme="minorHAnsi" w:cs="Tahoma"/>
        </w:rPr>
        <w:t xml:space="preserve"> place.</w:t>
      </w:r>
      <w:r w:rsidR="003A1E81" w:rsidRPr="002B2E05">
        <w:rPr>
          <w:rFonts w:asciiTheme="minorHAnsi" w:hAnsiTheme="minorHAnsi" w:cs="Tahoma"/>
        </w:rPr>
        <w:t xml:space="preserve"> In such cases, the AMD will be supported by senior medical and pharmacy colleagues as required.</w:t>
      </w:r>
    </w:p>
    <w:p w14:paraId="41631E5F" w14:textId="77777777" w:rsidR="006333EB" w:rsidRPr="002B2E05" w:rsidRDefault="006333EB" w:rsidP="001261E4">
      <w:pPr>
        <w:ind w:right="-56"/>
        <w:jc w:val="both"/>
        <w:rPr>
          <w:rFonts w:asciiTheme="minorHAnsi" w:hAnsiTheme="minorHAnsi" w:cs="Tahoma"/>
        </w:rPr>
      </w:pPr>
    </w:p>
    <w:p w14:paraId="41631E60" w14:textId="77777777" w:rsidR="001261E4" w:rsidRPr="002B2E05" w:rsidRDefault="001261E4" w:rsidP="001E5E58">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t>Nature of evidence</w:t>
      </w:r>
    </w:p>
    <w:p w14:paraId="41631E61" w14:textId="77777777" w:rsidR="001E5E58" w:rsidRDefault="001E5E58" w:rsidP="001261E4">
      <w:pPr>
        <w:ind w:right="-56"/>
        <w:jc w:val="both"/>
        <w:rPr>
          <w:rFonts w:asciiTheme="minorHAnsi" w:hAnsiTheme="minorHAnsi" w:cs="Tahoma"/>
        </w:rPr>
      </w:pPr>
    </w:p>
    <w:p w14:paraId="41631E62" w14:textId="5F4ECFCD" w:rsidR="001261E4" w:rsidRPr="002B2E05" w:rsidRDefault="001261E4" w:rsidP="066D4B6B">
      <w:pPr>
        <w:ind w:right="-56"/>
        <w:jc w:val="both"/>
        <w:rPr>
          <w:rFonts w:asciiTheme="minorHAnsi" w:hAnsiTheme="minorHAnsi" w:cs="Tahoma"/>
        </w:rPr>
      </w:pPr>
      <w:r w:rsidRPr="066D4B6B">
        <w:rPr>
          <w:rFonts w:asciiTheme="minorHAnsi" w:hAnsiTheme="minorHAnsi" w:cs="Tahoma"/>
        </w:rPr>
        <w:t>The onus is on the app</w:t>
      </w:r>
      <w:r w:rsidR="00B01BD6" w:rsidRPr="066D4B6B">
        <w:rPr>
          <w:rFonts w:asciiTheme="minorHAnsi" w:hAnsiTheme="minorHAnsi" w:cs="Tahoma"/>
        </w:rPr>
        <w:t>licant</w:t>
      </w:r>
      <w:r w:rsidRPr="066D4B6B">
        <w:rPr>
          <w:rFonts w:asciiTheme="minorHAnsi" w:hAnsiTheme="minorHAnsi" w:cs="Tahoma"/>
        </w:rPr>
        <w:t xml:space="preserve"> to demonstrate </w:t>
      </w:r>
      <w:r w:rsidR="000C224F" w:rsidRPr="066D4B6B">
        <w:rPr>
          <w:rFonts w:asciiTheme="minorHAnsi" w:hAnsiTheme="minorHAnsi" w:cs="Tahoma"/>
        </w:rPr>
        <w:t xml:space="preserve">that the referral criteria described in </w:t>
      </w:r>
      <w:r w:rsidR="008D3922" w:rsidRPr="066D4B6B">
        <w:rPr>
          <w:rFonts w:asciiTheme="minorHAnsi" w:hAnsiTheme="minorHAnsi" w:cs="Tahoma"/>
        </w:rPr>
        <w:t>S</w:t>
      </w:r>
      <w:r w:rsidR="00770F6B" w:rsidRPr="066D4B6B">
        <w:rPr>
          <w:rFonts w:asciiTheme="minorHAnsi" w:hAnsiTheme="minorHAnsi" w:cs="Tahoma"/>
        </w:rPr>
        <w:t xml:space="preserve">ection </w:t>
      </w:r>
      <w:r w:rsidR="003E24F0" w:rsidRPr="066D4B6B">
        <w:rPr>
          <w:rFonts w:asciiTheme="minorHAnsi" w:hAnsiTheme="minorHAnsi" w:cs="Tahoma"/>
        </w:rPr>
        <w:t>6</w:t>
      </w:r>
      <w:r w:rsidR="000C224F" w:rsidRPr="066D4B6B">
        <w:rPr>
          <w:rFonts w:asciiTheme="minorHAnsi" w:hAnsiTheme="minorHAnsi" w:cs="Tahoma"/>
        </w:rPr>
        <w:t xml:space="preserve"> are fulfilled </w:t>
      </w:r>
      <w:r w:rsidRPr="066D4B6B">
        <w:rPr>
          <w:rFonts w:asciiTheme="minorHAnsi" w:hAnsiTheme="minorHAnsi" w:cs="Tahoma"/>
        </w:rPr>
        <w:t xml:space="preserve">and </w:t>
      </w:r>
      <w:r w:rsidR="000C224F" w:rsidRPr="066D4B6B">
        <w:rPr>
          <w:rFonts w:asciiTheme="minorHAnsi" w:hAnsiTheme="minorHAnsi" w:cs="Tahoma"/>
        </w:rPr>
        <w:t>clearly described in a fully</w:t>
      </w:r>
      <w:r w:rsidRPr="066D4B6B">
        <w:rPr>
          <w:rFonts w:asciiTheme="minorHAnsi" w:hAnsiTheme="minorHAnsi" w:cs="Tahoma"/>
        </w:rPr>
        <w:t xml:space="preserve"> completed IPTR3 Form. The evidence that the </w:t>
      </w:r>
      <w:r w:rsidR="00846AE1" w:rsidRPr="066D4B6B">
        <w:rPr>
          <w:rFonts w:asciiTheme="minorHAnsi" w:hAnsiTheme="minorHAnsi" w:cs="Tahoma"/>
        </w:rPr>
        <w:t>P</w:t>
      </w:r>
      <w:r w:rsidRPr="066D4B6B">
        <w:rPr>
          <w:rFonts w:asciiTheme="minorHAnsi" w:hAnsiTheme="minorHAnsi" w:cs="Tahoma"/>
        </w:rPr>
        <w:t xml:space="preserve">anel considers may include: </w:t>
      </w:r>
    </w:p>
    <w:p w14:paraId="41631E63" w14:textId="77777777" w:rsidR="001261E4" w:rsidRPr="002B2E05" w:rsidRDefault="001261E4" w:rsidP="001261E4">
      <w:pPr>
        <w:numPr>
          <w:ilvl w:val="0"/>
          <w:numId w:val="12"/>
        </w:numPr>
        <w:jc w:val="both"/>
        <w:rPr>
          <w:rFonts w:asciiTheme="minorHAnsi" w:hAnsiTheme="minorHAnsi" w:cs="Tahoma"/>
        </w:rPr>
      </w:pPr>
      <w:r w:rsidRPr="002B2E05">
        <w:rPr>
          <w:rFonts w:asciiTheme="minorHAnsi" w:hAnsiTheme="minorHAnsi" w:cs="Tahoma"/>
        </w:rPr>
        <w:t>SMC advice and the detailed advice document (DAD) where available</w:t>
      </w:r>
    </w:p>
    <w:p w14:paraId="41631E64" w14:textId="77777777" w:rsidR="001261E4" w:rsidRPr="002B2E05" w:rsidRDefault="001261E4" w:rsidP="001261E4">
      <w:pPr>
        <w:numPr>
          <w:ilvl w:val="0"/>
          <w:numId w:val="12"/>
        </w:numPr>
        <w:jc w:val="both"/>
        <w:rPr>
          <w:rFonts w:asciiTheme="minorHAnsi" w:hAnsiTheme="minorHAnsi" w:cs="Tahoma"/>
        </w:rPr>
      </w:pPr>
      <w:r w:rsidRPr="002B2E05">
        <w:rPr>
          <w:rFonts w:asciiTheme="minorHAnsi" w:hAnsiTheme="minorHAnsi" w:cs="Tahoma"/>
        </w:rPr>
        <w:t>The referral criteria</w:t>
      </w:r>
    </w:p>
    <w:p w14:paraId="41631E65" w14:textId="77777777" w:rsidR="001261E4" w:rsidRPr="002B2E05" w:rsidRDefault="00770F6B" w:rsidP="001261E4">
      <w:pPr>
        <w:numPr>
          <w:ilvl w:val="0"/>
          <w:numId w:val="12"/>
        </w:numPr>
        <w:jc w:val="both"/>
        <w:rPr>
          <w:rFonts w:asciiTheme="minorHAnsi" w:hAnsiTheme="minorHAnsi" w:cs="Tahoma"/>
        </w:rPr>
      </w:pPr>
      <w:r w:rsidRPr="002B2E05">
        <w:rPr>
          <w:rFonts w:asciiTheme="minorHAnsi" w:hAnsiTheme="minorHAnsi" w:cs="Tahoma"/>
        </w:rPr>
        <w:t>The IPTR cas</w:t>
      </w:r>
      <w:r w:rsidR="001261E4" w:rsidRPr="002B2E05">
        <w:rPr>
          <w:rFonts w:asciiTheme="minorHAnsi" w:hAnsiTheme="minorHAnsi" w:cs="Tahoma"/>
        </w:rPr>
        <w:t>e report from the requesting clinician which will comprise:</w:t>
      </w:r>
    </w:p>
    <w:p w14:paraId="41631E66" w14:textId="77777777" w:rsidR="001261E4" w:rsidRPr="002B2E05" w:rsidRDefault="001261E4" w:rsidP="007C1E5E">
      <w:pPr>
        <w:numPr>
          <w:ilvl w:val="1"/>
          <w:numId w:val="2"/>
        </w:numPr>
        <w:tabs>
          <w:tab w:val="clear" w:pos="1440"/>
          <w:tab w:val="num" w:pos="900"/>
        </w:tabs>
        <w:ind w:left="900"/>
        <w:jc w:val="both"/>
        <w:rPr>
          <w:rFonts w:asciiTheme="minorHAnsi" w:hAnsiTheme="minorHAnsi" w:cs="Tahoma"/>
        </w:rPr>
      </w:pPr>
      <w:r w:rsidRPr="002B2E05">
        <w:rPr>
          <w:rFonts w:asciiTheme="minorHAnsi" w:hAnsiTheme="minorHAnsi" w:cs="Tahoma"/>
        </w:rPr>
        <w:t>The rationale for the IPTR request including patient treatment history, prognosis and specific clinical characteristics</w:t>
      </w:r>
    </w:p>
    <w:p w14:paraId="41631E67" w14:textId="77777777" w:rsidR="001261E4" w:rsidRPr="002B2E05" w:rsidRDefault="001261E4" w:rsidP="007C1E5E">
      <w:pPr>
        <w:numPr>
          <w:ilvl w:val="1"/>
          <w:numId w:val="2"/>
        </w:numPr>
        <w:tabs>
          <w:tab w:val="clear" w:pos="1440"/>
          <w:tab w:val="num" w:pos="900"/>
        </w:tabs>
        <w:ind w:left="900"/>
        <w:jc w:val="both"/>
        <w:rPr>
          <w:rFonts w:asciiTheme="minorHAnsi" w:hAnsiTheme="minorHAnsi" w:cs="Tahoma"/>
        </w:rPr>
      </w:pPr>
      <w:r w:rsidRPr="002B2E05">
        <w:rPr>
          <w:rFonts w:asciiTheme="minorHAnsi" w:hAnsiTheme="minorHAnsi" w:cs="Tahoma"/>
        </w:rPr>
        <w:t>Information on expected response and benefit</w:t>
      </w:r>
    </w:p>
    <w:p w14:paraId="41631E68" w14:textId="77777777" w:rsidR="001261E4" w:rsidRPr="002B2E05" w:rsidRDefault="001261E4" w:rsidP="007C1E5E">
      <w:pPr>
        <w:numPr>
          <w:ilvl w:val="1"/>
          <w:numId w:val="2"/>
        </w:numPr>
        <w:tabs>
          <w:tab w:val="clear" w:pos="1440"/>
          <w:tab w:val="num" w:pos="900"/>
        </w:tabs>
        <w:ind w:left="900"/>
        <w:jc w:val="both"/>
        <w:rPr>
          <w:rFonts w:asciiTheme="minorHAnsi" w:hAnsiTheme="minorHAnsi" w:cs="Tahoma"/>
        </w:rPr>
      </w:pPr>
      <w:r w:rsidRPr="002B2E05">
        <w:rPr>
          <w:rFonts w:asciiTheme="minorHAnsi" w:hAnsiTheme="minorHAnsi" w:cs="Tahoma"/>
        </w:rPr>
        <w:t>Consequences of not using the treatment from both a patient and service perspective</w:t>
      </w:r>
    </w:p>
    <w:p w14:paraId="41631E69" w14:textId="77777777" w:rsidR="001261E4" w:rsidRPr="002B2E05" w:rsidRDefault="001261E4" w:rsidP="007C1E5E">
      <w:pPr>
        <w:numPr>
          <w:ilvl w:val="1"/>
          <w:numId w:val="2"/>
        </w:numPr>
        <w:tabs>
          <w:tab w:val="clear" w:pos="1440"/>
          <w:tab w:val="num" w:pos="900"/>
        </w:tabs>
        <w:ind w:left="900"/>
        <w:jc w:val="both"/>
        <w:rPr>
          <w:rFonts w:asciiTheme="minorHAnsi" w:hAnsiTheme="minorHAnsi" w:cs="Tahoma"/>
        </w:rPr>
      </w:pPr>
      <w:r w:rsidRPr="002B2E05">
        <w:rPr>
          <w:rFonts w:asciiTheme="minorHAnsi" w:hAnsiTheme="minorHAnsi" w:cs="Tahoma"/>
        </w:rPr>
        <w:t>Consequences of using the treatment, including cost, duration of treatment and stopping rules</w:t>
      </w:r>
    </w:p>
    <w:p w14:paraId="41631E6A" w14:textId="77777777" w:rsidR="001261E4" w:rsidRPr="002B2E05" w:rsidRDefault="001261E4" w:rsidP="007C1E5E">
      <w:pPr>
        <w:numPr>
          <w:ilvl w:val="1"/>
          <w:numId w:val="2"/>
        </w:numPr>
        <w:tabs>
          <w:tab w:val="clear" w:pos="1440"/>
          <w:tab w:val="num" w:pos="900"/>
        </w:tabs>
        <w:ind w:left="900"/>
        <w:jc w:val="both"/>
        <w:rPr>
          <w:rFonts w:asciiTheme="minorHAnsi" w:hAnsiTheme="minorHAnsi" w:cs="Tahoma"/>
        </w:rPr>
      </w:pPr>
      <w:r w:rsidRPr="002B2E05">
        <w:rPr>
          <w:rFonts w:asciiTheme="minorHAnsi" w:hAnsiTheme="minorHAnsi" w:cs="Tahoma"/>
        </w:rPr>
        <w:t>Any other relevant information such as case reports and further evidence from literature reviews</w:t>
      </w:r>
    </w:p>
    <w:p w14:paraId="41631E6B" w14:textId="77777777" w:rsidR="001261E4" w:rsidRPr="002B2E05" w:rsidRDefault="001261E4" w:rsidP="001261E4">
      <w:pPr>
        <w:numPr>
          <w:ilvl w:val="0"/>
          <w:numId w:val="13"/>
        </w:numPr>
        <w:jc w:val="both"/>
        <w:rPr>
          <w:rFonts w:asciiTheme="minorHAnsi" w:hAnsiTheme="minorHAnsi" w:cs="Tahoma"/>
        </w:rPr>
      </w:pPr>
      <w:r w:rsidRPr="002B2E05">
        <w:rPr>
          <w:rFonts w:asciiTheme="minorHAnsi" w:hAnsiTheme="minorHAnsi" w:cs="Tahoma"/>
        </w:rPr>
        <w:lastRenderedPageBreak/>
        <w:t>Patient /patient advocate statement</w:t>
      </w:r>
    </w:p>
    <w:p w14:paraId="41631E6C" w14:textId="3183EC3E" w:rsidR="001261E4" w:rsidRPr="002B2E05" w:rsidRDefault="001261E4" w:rsidP="066D4B6B">
      <w:pPr>
        <w:ind w:left="720"/>
        <w:jc w:val="both"/>
        <w:rPr>
          <w:rFonts w:asciiTheme="minorHAnsi" w:hAnsiTheme="minorHAnsi" w:cs="Tahoma"/>
        </w:rPr>
      </w:pPr>
      <w:r w:rsidRPr="066D4B6B">
        <w:rPr>
          <w:rFonts w:asciiTheme="minorHAnsi" w:hAnsiTheme="minorHAnsi" w:cs="Tahoma"/>
        </w:rPr>
        <w:t>If the patient is able and wishes, he / she can be given an opportunity to contribute to the evidence reviewed by the Panel by completing the appropriate section of the IPTR3 form.  This may be prepared by the patient or by a representative on his / her behalf. This will be presented in the knowledge that the IPTR decision will be based on clinical factors only and will take no account of the patient’s social circumstances</w:t>
      </w:r>
      <w:r w:rsidR="009D4507" w:rsidRPr="066D4B6B">
        <w:rPr>
          <w:rFonts w:asciiTheme="minorHAnsi" w:hAnsiTheme="minorHAnsi" w:cs="Tahoma"/>
        </w:rPr>
        <w:t>. Formal consent will be sought in the event of involvement of a patient representative.</w:t>
      </w:r>
    </w:p>
    <w:p w14:paraId="41631E6D" w14:textId="77777777" w:rsidR="0099282E" w:rsidRPr="002B2E05" w:rsidRDefault="0099282E" w:rsidP="001261E4">
      <w:pPr>
        <w:numPr>
          <w:ilvl w:val="0"/>
          <w:numId w:val="13"/>
        </w:numPr>
        <w:jc w:val="both"/>
        <w:rPr>
          <w:rFonts w:asciiTheme="minorHAnsi" w:hAnsiTheme="minorHAnsi" w:cs="Tahoma"/>
        </w:rPr>
      </w:pPr>
      <w:r w:rsidRPr="002B2E05">
        <w:rPr>
          <w:rFonts w:asciiTheme="minorHAnsi" w:hAnsiTheme="minorHAnsi" w:cs="Tahoma"/>
        </w:rPr>
        <w:t xml:space="preserve">The incorporation of peer review into the evidence base, e.g. an MDT report or the </w:t>
      </w:r>
      <w:r w:rsidR="00801805" w:rsidRPr="002B2E05">
        <w:rPr>
          <w:rFonts w:asciiTheme="minorHAnsi" w:hAnsiTheme="minorHAnsi" w:cs="Tahoma"/>
        </w:rPr>
        <w:t xml:space="preserve">opinion </w:t>
      </w:r>
      <w:r w:rsidRPr="002B2E05">
        <w:rPr>
          <w:rFonts w:asciiTheme="minorHAnsi" w:hAnsiTheme="minorHAnsi" w:cs="Tahoma"/>
        </w:rPr>
        <w:t>of the Clinical Team Lead</w:t>
      </w:r>
      <w:r w:rsidR="00F814F2" w:rsidRPr="002B2E05">
        <w:rPr>
          <w:rFonts w:asciiTheme="minorHAnsi" w:hAnsiTheme="minorHAnsi" w:cs="Tahoma"/>
        </w:rPr>
        <w:t xml:space="preserve">.  </w:t>
      </w:r>
    </w:p>
    <w:p w14:paraId="41631E6E" w14:textId="77777777" w:rsidR="001261E4" w:rsidRPr="002B2E05" w:rsidRDefault="001261E4" w:rsidP="001261E4">
      <w:pPr>
        <w:numPr>
          <w:ilvl w:val="0"/>
          <w:numId w:val="13"/>
        </w:numPr>
        <w:jc w:val="both"/>
        <w:rPr>
          <w:rFonts w:asciiTheme="minorHAnsi" w:hAnsiTheme="minorHAnsi" w:cs="Tahoma"/>
        </w:rPr>
      </w:pPr>
      <w:r w:rsidRPr="002B2E05">
        <w:rPr>
          <w:rFonts w:asciiTheme="minorHAnsi" w:hAnsiTheme="minorHAnsi" w:cs="Tahoma"/>
        </w:rPr>
        <w:t>Declarations of interests</w:t>
      </w:r>
      <w:r w:rsidR="00305DE6" w:rsidRPr="002B2E05">
        <w:rPr>
          <w:rFonts w:asciiTheme="minorHAnsi" w:hAnsiTheme="minorHAnsi" w:cs="Tahoma"/>
        </w:rPr>
        <w:t xml:space="preserve">, </w:t>
      </w:r>
      <w:proofErr w:type="gramStart"/>
      <w:r w:rsidR="00305DE6" w:rsidRPr="002B2E05">
        <w:rPr>
          <w:rFonts w:asciiTheme="minorHAnsi" w:hAnsiTheme="minorHAnsi" w:cs="Tahoma"/>
        </w:rPr>
        <w:t>both of the clinician</w:t>
      </w:r>
      <w:proofErr w:type="gramEnd"/>
      <w:r w:rsidR="00305DE6" w:rsidRPr="002B2E05">
        <w:rPr>
          <w:rFonts w:asciiTheme="minorHAnsi" w:hAnsiTheme="minorHAnsi" w:cs="Tahoma"/>
        </w:rPr>
        <w:t xml:space="preserve"> supporting the IPTR and the IPTR </w:t>
      </w:r>
      <w:r w:rsidR="00846AE1" w:rsidRPr="002B2E05">
        <w:rPr>
          <w:rFonts w:asciiTheme="minorHAnsi" w:hAnsiTheme="minorHAnsi" w:cs="Tahoma"/>
        </w:rPr>
        <w:t>P</w:t>
      </w:r>
      <w:r w:rsidR="00305DE6" w:rsidRPr="002B2E05">
        <w:rPr>
          <w:rFonts w:asciiTheme="minorHAnsi" w:hAnsiTheme="minorHAnsi" w:cs="Tahoma"/>
        </w:rPr>
        <w:t>anel.</w:t>
      </w:r>
    </w:p>
    <w:p w14:paraId="41631E6F" w14:textId="77777777" w:rsidR="001261E4" w:rsidRPr="002B2E05" w:rsidRDefault="001261E4" w:rsidP="001261E4">
      <w:pPr>
        <w:ind w:right="-56"/>
        <w:jc w:val="both"/>
        <w:rPr>
          <w:rFonts w:asciiTheme="minorHAnsi" w:hAnsiTheme="minorHAnsi" w:cs="Tahoma"/>
        </w:rPr>
      </w:pPr>
    </w:p>
    <w:p w14:paraId="41631E70" w14:textId="77777777" w:rsidR="00770F6B" w:rsidRPr="002B2E05" w:rsidRDefault="00770F6B" w:rsidP="00770F6B">
      <w:pPr>
        <w:ind w:right="-56"/>
        <w:jc w:val="both"/>
        <w:rPr>
          <w:rFonts w:asciiTheme="minorHAnsi" w:hAnsiTheme="minorHAnsi" w:cs="Tahoma"/>
        </w:rPr>
      </w:pPr>
      <w:r w:rsidRPr="002B2E05">
        <w:rPr>
          <w:rFonts w:asciiTheme="minorHAnsi" w:hAnsiTheme="minorHAnsi" w:cs="Tahoma"/>
        </w:rPr>
        <w:t xml:space="preserve">In most cases the evidence provided by the clinician will be supplemented by </w:t>
      </w:r>
      <w:proofErr w:type="gramStart"/>
      <w:r w:rsidRPr="002B2E05">
        <w:rPr>
          <w:rFonts w:asciiTheme="minorHAnsi" w:hAnsiTheme="minorHAnsi" w:cs="Tahoma"/>
        </w:rPr>
        <w:t>an independent evidence</w:t>
      </w:r>
      <w:proofErr w:type="gramEnd"/>
      <w:r w:rsidRPr="002B2E05">
        <w:rPr>
          <w:rFonts w:asciiTheme="minorHAnsi" w:hAnsiTheme="minorHAnsi" w:cs="Tahoma"/>
        </w:rPr>
        <w:t xml:space="preserve"> briefing prepared by an appropriate clinical / medicines information pharmacist for consideration by the </w:t>
      </w:r>
      <w:r w:rsidR="00846AE1" w:rsidRPr="002B2E05">
        <w:rPr>
          <w:rFonts w:asciiTheme="minorHAnsi" w:hAnsiTheme="minorHAnsi" w:cs="Tahoma"/>
        </w:rPr>
        <w:t>P</w:t>
      </w:r>
      <w:r w:rsidRPr="002B2E05">
        <w:rPr>
          <w:rFonts w:asciiTheme="minorHAnsi" w:hAnsiTheme="minorHAnsi" w:cs="Tahoma"/>
        </w:rPr>
        <w:t>anel.  A template is available for this purpose (appendix</w:t>
      </w:r>
      <w:r w:rsidR="00D62251" w:rsidRPr="002B2E05">
        <w:rPr>
          <w:rFonts w:asciiTheme="minorHAnsi" w:hAnsiTheme="minorHAnsi" w:cs="Tahoma"/>
        </w:rPr>
        <w:t xml:space="preserve"> </w:t>
      </w:r>
      <w:r w:rsidR="001167E7" w:rsidRPr="002B2E05">
        <w:rPr>
          <w:rFonts w:asciiTheme="minorHAnsi" w:hAnsiTheme="minorHAnsi" w:cs="Tahoma"/>
        </w:rPr>
        <w:t>1</w:t>
      </w:r>
      <w:r w:rsidRPr="002B2E05">
        <w:rPr>
          <w:rFonts w:asciiTheme="minorHAnsi" w:hAnsiTheme="minorHAnsi" w:cs="Tahoma"/>
        </w:rPr>
        <w:t xml:space="preserve">) </w:t>
      </w:r>
    </w:p>
    <w:p w14:paraId="41631E71" w14:textId="77777777" w:rsidR="00770F6B" w:rsidRPr="002B2E05" w:rsidRDefault="00770F6B" w:rsidP="001261E4">
      <w:pPr>
        <w:ind w:right="-56"/>
        <w:jc w:val="both"/>
        <w:rPr>
          <w:rFonts w:asciiTheme="minorHAnsi" w:hAnsiTheme="minorHAnsi" w:cs="Tahoma"/>
        </w:rPr>
      </w:pPr>
    </w:p>
    <w:p w14:paraId="41631E72" w14:textId="77777777" w:rsidR="001261E4" w:rsidRPr="002B2E05" w:rsidRDefault="001261E4" w:rsidP="001261E4">
      <w:pPr>
        <w:ind w:right="-56"/>
        <w:jc w:val="both"/>
        <w:rPr>
          <w:rFonts w:asciiTheme="minorHAnsi" w:hAnsiTheme="minorHAnsi" w:cs="Tahoma"/>
        </w:rPr>
      </w:pPr>
      <w:r w:rsidRPr="002B2E05">
        <w:rPr>
          <w:rFonts w:asciiTheme="minorHAnsi" w:hAnsiTheme="minorHAnsi" w:cs="Tahoma"/>
        </w:rPr>
        <w:t xml:space="preserve">The completed IPTR3 Form together with any supporting literature should be submitted to the relevant </w:t>
      </w:r>
      <w:proofErr w:type="spellStart"/>
      <w:r w:rsidR="00757FFA" w:rsidRPr="002B2E05">
        <w:rPr>
          <w:rFonts w:asciiTheme="minorHAnsi" w:hAnsiTheme="minorHAnsi" w:cs="Tahoma"/>
        </w:rPr>
        <w:t>CoM</w:t>
      </w:r>
      <w:proofErr w:type="spellEnd"/>
      <w:r w:rsidR="00757FFA" w:rsidRPr="002B2E05">
        <w:rPr>
          <w:rFonts w:asciiTheme="minorHAnsi" w:hAnsiTheme="minorHAnsi" w:cs="Tahoma"/>
        </w:rPr>
        <w:t xml:space="preserve"> </w:t>
      </w:r>
      <w:r w:rsidRPr="002B2E05">
        <w:rPr>
          <w:rFonts w:asciiTheme="minorHAnsi" w:hAnsiTheme="minorHAnsi" w:cs="Tahoma"/>
        </w:rPr>
        <w:t>who will initiate the review and circulate to the other Panel Members.</w:t>
      </w:r>
    </w:p>
    <w:p w14:paraId="41631E73" w14:textId="77777777" w:rsidR="001261E4" w:rsidRPr="002B2E05" w:rsidRDefault="001261E4" w:rsidP="001261E4">
      <w:pPr>
        <w:ind w:right="-56"/>
        <w:jc w:val="both"/>
        <w:rPr>
          <w:rFonts w:asciiTheme="minorHAnsi" w:hAnsiTheme="minorHAnsi" w:cs="Tahoma"/>
        </w:rPr>
      </w:pPr>
    </w:p>
    <w:p w14:paraId="41631E74" w14:textId="77777777" w:rsidR="00800ED0" w:rsidRPr="002B2E05" w:rsidRDefault="00800ED0" w:rsidP="00800ED0">
      <w:pPr>
        <w:ind w:right="-56"/>
        <w:jc w:val="both"/>
        <w:rPr>
          <w:rFonts w:asciiTheme="minorHAnsi" w:hAnsiTheme="minorHAnsi" w:cs="Tahoma"/>
        </w:rPr>
      </w:pPr>
      <w:r w:rsidRPr="002B2E05">
        <w:rPr>
          <w:rFonts w:asciiTheme="minorHAnsi" w:hAnsiTheme="minorHAnsi" w:cs="Tahoma"/>
        </w:rPr>
        <w:t xml:space="preserve">All supporting evidence, including any patient statement, should be submitted to the IPTR Panel to allow sufficient time for it to be circulated and evaluated by </w:t>
      </w:r>
      <w:r w:rsidR="00846AE1" w:rsidRPr="002B2E05">
        <w:rPr>
          <w:rFonts w:asciiTheme="minorHAnsi" w:hAnsiTheme="minorHAnsi" w:cs="Tahoma"/>
        </w:rPr>
        <w:t>P</w:t>
      </w:r>
      <w:r w:rsidRPr="002B2E05">
        <w:rPr>
          <w:rFonts w:asciiTheme="minorHAnsi" w:hAnsiTheme="minorHAnsi" w:cs="Tahoma"/>
        </w:rPr>
        <w:t xml:space="preserve">anel members prior to the </w:t>
      </w:r>
      <w:r w:rsidR="00846AE1" w:rsidRPr="002B2E05">
        <w:rPr>
          <w:rFonts w:asciiTheme="minorHAnsi" w:hAnsiTheme="minorHAnsi" w:cs="Tahoma"/>
        </w:rPr>
        <w:t>P</w:t>
      </w:r>
      <w:r w:rsidRPr="002B2E05">
        <w:rPr>
          <w:rFonts w:asciiTheme="minorHAnsi" w:hAnsiTheme="minorHAnsi" w:cs="Tahoma"/>
        </w:rPr>
        <w:t xml:space="preserve">anel hearing.  </w:t>
      </w:r>
      <w:r w:rsidR="00C2492B" w:rsidRPr="002B2E05">
        <w:rPr>
          <w:rFonts w:asciiTheme="minorHAnsi" w:hAnsiTheme="minorHAnsi" w:cs="Tahoma"/>
        </w:rPr>
        <w:t>Unless there are exceptional circumstances</w:t>
      </w:r>
      <w:r w:rsidRPr="002B2E05">
        <w:rPr>
          <w:rFonts w:asciiTheme="minorHAnsi" w:hAnsiTheme="minorHAnsi" w:cs="Tahoma"/>
        </w:rPr>
        <w:t xml:space="preserve">, this </w:t>
      </w:r>
      <w:r w:rsidR="00FB0EC5" w:rsidRPr="002B2E05">
        <w:rPr>
          <w:rFonts w:asciiTheme="minorHAnsi" w:hAnsiTheme="minorHAnsi" w:cs="Tahoma"/>
        </w:rPr>
        <w:t xml:space="preserve">should be at least </w:t>
      </w:r>
      <w:r w:rsidR="00F67815" w:rsidRPr="002B2E05">
        <w:rPr>
          <w:rFonts w:asciiTheme="minorHAnsi" w:hAnsiTheme="minorHAnsi" w:cs="Tahoma"/>
        </w:rPr>
        <w:t>3</w:t>
      </w:r>
      <w:r w:rsidRPr="002B2E05">
        <w:rPr>
          <w:rFonts w:asciiTheme="minorHAnsi" w:hAnsiTheme="minorHAnsi" w:cs="Tahoma"/>
        </w:rPr>
        <w:t xml:space="preserve"> working days prior to the </w:t>
      </w:r>
      <w:r w:rsidR="00846AE1" w:rsidRPr="002B2E05">
        <w:rPr>
          <w:rFonts w:asciiTheme="minorHAnsi" w:hAnsiTheme="minorHAnsi" w:cs="Tahoma"/>
        </w:rPr>
        <w:t>P</w:t>
      </w:r>
      <w:r w:rsidRPr="002B2E05">
        <w:rPr>
          <w:rFonts w:asciiTheme="minorHAnsi" w:hAnsiTheme="minorHAnsi" w:cs="Tahoma"/>
        </w:rPr>
        <w:t>anel hearing.</w:t>
      </w:r>
      <w:r w:rsidR="00AE4FB0" w:rsidRPr="002B2E05">
        <w:rPr>
          <w:rFonts w:asciiTheme="minorHAnsi" w:hAnsiTheme="minorHAnsi" w:cs="Tahoma"/>
        </w:rPr>
        <w:t xml:space="preserve"> Flexibility on this timescale applies to patient statements in support of an IPTR, but these should not be su</w:t>
      </w:r>
      <w:r w:rsidR="00846AE1" w:rsidRPr="002B2E05">
        <w:rPr>
          <w:rFonts w:asciiTheme="minorHAnsi" w:hAnsiTheme="minorHAnsi" w:cs="Tahoma"/>
        </w:rPr>
        <w:t>bmitted within 48 hours of the P</w:t>
      </w:r>
      <w:r w:rsidR="00AE4FB0" w:rsidRPr="002B2E05">
        <w:rPr>
          <w:rFonts w:asciiTheme="minorHAnsi" w:hAnsiTheme="minorHAnsi" w:cs="Tahoma"/>
        </w:rPr>
        <w:t>anel hearing.</w:t>
      </w:r>
    </w:p>
    <w:p w14:paraId="41631E75" w14:textId="77777777" w:rsidR="00800ED0" w:rsidRPr="002B2E05" w:rsidRDefault="00800ED0" w:rsidP="001261E4">
      <w:pPr>
        <w:ind w:right="-56"/>
        <w:jc w:val="both"/>
        <w:rPr>
          <w:rFonts w:asciiTheme="minorHAnsi" w:hAnsiTheme="minorHAnsi" w:cs="Tahoma"/>
        </w:rPr>
      </w:pPr>
    </w:p>
    <w:p w14:paraId="41631E76" w14:textId="77777777" w:rsidR="00B46A3C" w:rsidRPr="002B2E05" w:rsidRDefault="00B46A3C" w:rsidP="001E5E58">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t>P</w:t>
      </w:r>
      <w:r w:rsidR="001E5E58">
        <w:rPr>
          <w:rFonts w:asciiTheme="minorHAnsi" w:hAnsiTheme="minorHAnsi" w:cstheme="minorHAnsi"/>
          <w:color w:val="1F497D"/>
        </w:rPr>
        <w:t>rivate healthcare</w:t>
      </w:r>
    </w:p>
    <w:p w14:paraId="41631E77" w14:textId="77777777" w:rsidR="001E5E58" w:rsidRDefault="001E5E58" w:rsidP="00B46A3C">
      <w:pPr>
        <w:pStyle w:val="Default"/>
        <w:jc w:val="both"/>
        <w:rPr>
          <w:rFonts w:asciiTheme="minorHAnsi" w:hAnsiTheme="minorHAnsi" w:cs="Tahoma"/>
          <w:iCs/>
          <w:color w:val="auto"/>
        </w:rPr>
      </w:pPr>
    </w:p>
    <w:p w14:paraId="41631E78" w14:textId="574A2DDE" w:rsidR="00B46A3C" w:rsidRPr="002B2E05" w:rsidRDefault="00B46A3C" w:rsidP="066D4B6B">
      <w:pPr>
        <w:pStyle w:val="Default"/>
        <w:jc w:val="both"/>
        <w:rPr>
          <w:rFonts w:asciiTheme="minorHAnsi" w:hAnsiTheme="minorHAnsi" w:cs="Tahoma"/>
          <w:color w:val="auto"/>
        </w:rPr>
      </w:pPr>
      <w:r w:rsidRPr="066D4B6B">
        <w:rPr>
          <w:rFonts w:asciiTheme="minorHAnsi" w:hAnsiTheme="minorHAnsi" w:cs="Tahoma"/>
          <w:color w:val="auto"/>
        </w:rPr>
        <w:t xml:space="preserve">Where a patient has used private treatment to access a medicine not routinely available in </w:t>
      </w:r>
      <w:proofErr w:type="spellStart"/>
      <w:r w:rsidRPr="066D4B6B">
        <w:rPr>
          <w:rFonts w:asciiTheme="minorHAnsi" w:hAnsiTheme="minorHAnsi" w:cs="Tahoma"/>
          <w:color w:val="auto"/>
        </w:rPr>
        <w:t>NHSScotland</w:t>
      </w:r>
      <w:proofErr w:type="spellEnd"/>
      <w:r w:rsidRPr="066D4B6B">
        <w:rPr>
          <w:rFonts w:asciiTheme="minorHAnsi" w:hAnsiTheme="minorHAnsi" w:cs="Tahoma"/>
          <w:color w:val="auto"/>
        </w:rPr>
        <w:t xml:space="preserve">, they are not expected to be eligible to apply for that medicine to be funded by the NHS via an IPTR during that episode of care. If an IPTR is being pursued, evidence from experience in the private sector can be submitted to support the application if it is an objective and scientific measurement of response. However, a demonstrable response is not necessarily an indicator that a patient will meet the criteria required for IPTR acceptance. This is in keeping with the principles laid down in the guidance to the NHS in Scotland and helps avoid the development of inequity in access to NHS services. </w:t>
      </w:r>
    </w:p>
    <w:p w14:paraId="41631E79" w14:textId="77777777" w:rsidR="00B46A3C" w:rsidRPr="002B2E05" w:rsidRDefault="00B46A3C" w:rsidP="00B46A3C">
      <w:pPr>
        <w:ind w:right="-56"/>
        <w:jc w:val="both"/>
        <w:rPr>
          <w:rFonts w:asciiTheme="minorHAnsi" w:hAnsiTheme="minorHAnsi" w:cs="Tahoma"/>
          <w:b/>
          <w:caps/>
          <w:color w:val="333399"/>
        </w:rPr>
      </w:pPr>
    </w:p>
    <w:p w14:paraId="41631E7A" w14:textId="77777777" w:rsidR="001261E4" w:rsidRPr="002B2E05" w:rsidRDefault="004050A0" w:rsidP="001E5E58">
      <w:pPr>
        <w:pStyle w:val="BodyText"/>
        <w:numPr>
          <w:ilvl w:val="0"/>
          <w:numId w:val="21"/>
        </w:numPr>
        <w:pBdr>
          <w:top w:val="single" w:sz="4" w:space="1" w:color="auto"/>
        </w:pBdr>
        <w:jc w:val="both"/>
        <w:rPr>
          <w:rFonts w:asciiTheme="minorHAnsi" w:hAnsiTheme="minorHAnsi" w:cstheme="minorHAnsi"/>
          <w:color w:val="1F497D"/>
        </w:rPr>
      </w:pPr>
      <w:r>
        <w:rPr>
          <w:rFonts w:asciiTheme="minorHAnsi" w:hAnsiTheme="minorHAnsi" w:cstheme="minorHAnsi"/>
          <w:color w:val="1F497D"/>
        </w:rPr>
        <w:t>Panel d</w:t>
      </w:r>
      <w:r w:rsidR="001261E4" w:rsidRPr="002B2E05">
        <w:rPr>
          <w:rFonts w:asciiTheme="minorHAnsi" w:hAnsiTheme="minorHAnsi" w:cstheme="minorHAnsi"/>
          <w:color w:val="1F497D"/>
        </w:rPr>
        <w:t>ecision</w:t>
      </w:r>
    </w:p>
    <w:p w14:paraId="41631E7B" w14:textId="77777777" w:rsidR="001E5E58" w:rsidRDefault="001E5E58" w:rsidP="001261E4">
      <w:pPr>
        <w:ind w:right="-334"/>
        <w:jc w:val="both"/>
        <w:rPr>
          <w:rFonts w:asciiTheme="minorHAnsi" w:hAnsiTheme="minorHAnsi" w:cs="Tahoma"/>
        </w:rPr>
      </w:pPr>
    </w:p>
    <w:p w14:paraId="41631E7C" w14:textId="7A03B6E6" w:rsidR="001261E4" w:rsidRPr="002B2E05" w:rsidRDefault="001261E4" w:rsidP="066D4B6B">
      <w:pPr>
        <w:ind w:right="-334"/>
        <w:jc w:val="both"/>
        <w:rPr>
          <w:rFonts w:asciiTheme="minorHAnsi" w:hAnsiTheme="minorHAnsi" w:cs="Tahoma"/>
        </w:rPr>
      </w:pPr>
      <w:r w:rsidRPr="066D4B6B">
        <w:rPr>
          <w:rFonts w:asciiTheme="minorHAnsi" w:hAnsiTheme="minorHAnsi" w:cs="Tahoma"/>
        </w:rPr>
        <w:t xml:space="preserve">The Panel will weigh up the evidence for the application </w:t>
      </w:r>
      <w:proofErr w:type="gramStart"/>
      <w:r w:rsidRPr="066D4B6B">
        <w:rPr>
          <w:rFonts w:asciiTheme="minorHAnsi" w:hAnsiTheme="minorHAnsi" w:cs="Tahoma"/>
        </w:rPr>
        <w:t>in order to</w:t>
      </w:r>
      <w:proofErr w:type="gramEnd"/>
      <w:r w:rsidRPr="066D4B6B">
        <w:rPr>
          <w:rFonts w:asciiTheme="minorHAnsi" w:hAnsiTheme="minorHAnsi" w:cs="Tahoma"/>
        </w:rPr>
        <w:t xml:space="preserve"> make their decision</w:t>
      </w:r>
      <w:r w:rsidR="00084C12" w:rsidRPr="066D4B6B">
        <w:rPr>
          <w:rFonts w:asciiTheme="minorHAnsi" w:hAnsiTheme="minorHAnsi" w:cs="Tahoma"/>
        </w:rPr>
        <w:t xml:space="preserve">, considering the applicability of the referral criteria </w:t>
      </w:r>
      <w:r w:rsidR="00922735" w:rsidRPr="066D4B6B">
        <w:rPr>
          <w:rFonts w:asciiTheme="minorHAnsi" w:hAnsiTheme="minorHAnsi" w:cs="Tahoma"/>
        </w:rPr>
        <w:t xml:space="preserve">in Section </w:t>
      </w:r>
      <w:r w:rsidR="00E16846" w:rsidRPr="066D4B6B">
        <w:rPr>
          <w:rFonts w:asciiTheme="minorHAnsi" w:hAnsiTheme="minorHAnsi" w:cs="Tahoma"/>
        </w:rPr>
        <w:t xml:space="preserve">6 </w:t>
      </w:r>
      <w:r w:rsidR="00084C12" w:rsidRPr="066D4B6B">
        <w:rPr>
          <w:rFonts w:asciiTheme="minorHAnsi" w:hAnsiTheme="minorHAnsi" w:cs="Tahoma"/>
        </w:rPr>
        <w:t xml:space="preserve">and additional flexibility as outlined in Section </w:t>
      </w:r>
      <w:r w:rsidR="00E16846" w:rsidRPr="066D4B6B">
        <w:rPr>
          <w:rFonts w:asciiTheme="minorHAnsi" w:hAnsiTheme="minorHAnsi" w:cs="Tahoma"/>
        </w:rPr>
        <w:t>1</w:t>
      </w:r>
      <w:r w:rsidR="00084C12" w:rsidRPr="066D4B6B">
        <w:rPr>
          <w:rFonts w:asciiTheme="minorHAnsi" w:hAnsiTheme="minorHAnsi" w:cs="Tahoma"/>
        </w:rPr>
        <w:t>.</w:t>
      </w:r>
      <w:r w:rsidRPr="066D4B6B">
        <w:rPr>
          <w:rFonts w:asciiTheme="minorHAnsi" w:hAnsiTheme="minorHAnsi" w:cs="Tahoma"/>
        </w:rPr>
        <w:t xml:space="preserve"> Where the request for the medicine is likely to impact on more than one directorate, it will be the responsibility of the Panel to liaise with other directorates as appropriate.  </w:t>
      </w:r>
    </w:p>
    <w:p w14:paraId="41631E7D" w14:textId="77777777" w:rsidR="00BB3524" w:rsidRPr="002B2E05" w:rsidRDefault="00BB3524" w:rsidP="001261E4">
      <w:pPr>
        <w:ind w:right="-334"/>
        <w:jc w:val="both"/>
        <w:rPr>
          <w:rFonts w:asciiTheme="minorHAnsi" w:hAnsiTheme="minorHAnsi" w:cs="Tahoma"/>
        </w:rPr>
      </w:pPr>
    </w:p>
    <w:p w14:paraId="41631E7E" w14:textId="77777777" w:rsidR="00BB3524" w:rsidRPr="002B2E05" w:rsidRDefault="00BB3524" w:rsidP="001261E4">
      <w:pPr>
        <w:ind w:right="-334"/>
        <w:jc w:val="both"/>
        <w:rPr>
          <w:rFonts w:asciiTheme="minorHAnsi" w:hAnsiTheme="minorHAnsi" w:cs="Tahoma"/>
        </w:rPr>
      </w:pPr>
    </w:p>
    <w:p w14:paraId="41631E7F" w14:textId="77777777" w:rsidR="00BB3524" w:rsidRPr="002B2E05" w:rsidRDefault="00BB3524" w:rsidP="54609720">
      <w:pPr>
        <w:ind w:right="-334"/>
        <w:jc w:val="both"/>
        <w:rPr>
          <w:rFonts w:asciiTheme="minorHAnsi" w:hAnsiTheme="minorHAnsi" w:cs="Tahoma"/>
        </w:rPr>
      </w:pPr>
    </w:p>
    <w:p w14:paraId="3A118A0E" w14:textId="5E5EFBC4" w:rsidR="54609720" w:rsidRDefault="54609720" w:rsidP="54609720">
      <w:pPr>
        <w:ind w:right="-334"/>
        <w:jc w:val="both"/>
        <w:rPr>
          <w:rFonts w:asciiTheme="minorHAnsi" w:hAnsiTheme="minorHAnsi" w:cs="Tahoma"/>
        </w:rPr>
      </w:pPr>
    </w:p>
    <w:p w14:paraId="41631E80" w14:textId="77777777" w:rsidR="001261E4" w:rsidRPr="004050A0" w:rsidRDefault="001261E4" w:rsidP="004050A0">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lastRenderedPageBreak/>
        <w:t>D</w:t>
      </w:r>
      <w:r w:rsidR="004050A0">
        <w:rPr>
          <w:rFonts w:asciiTheme="minorHAnsi" w:hAnsiTheme="minorHAnsi" w:cstheme="minorHAnsi"/>
          <w:color w:val="1F497D"/>
        </w:rPr>
        <w:t>ocumentation and communication of decision</w:t>
      </w:r>
    </w:p>
    <w:p w14:paraId="41631E81" w14:textId="77777777" w:rsidR="004050A0" w:rsidRDefault="004050A0" w:rsidP="001261E4">
      <w:pPr>
        <w:ind w:right="-56"/>
        <w:jc w:val="both"/>
        <w:rPr>
          <w:rFonts w:asciiTheme="minorHAnsi" w:hAnsiTheme="minorHAnsi" w:cs="Tahoma"/>
        </w:rPr>
      </w:pPr>
    </w:p>
    <w:p w14:paraId="41631E82" w14:textId="77777777" w:rsidR="001261E4" w:rsidRPr="002B2E05" w:rsidRDefault="001261E4" w:rsidP="001261E4">
      <w:pPr>
        <w:ind w:right="-56"/>
        <w:jc w:val="both"/>
        <w:rPr>
          <w:rFonts w:asciiTheme="minorHAnsi" w:hAnsiTheme="minorHAnsi" w:cs="Tahoma"/>
        </w:rPr>
      </w:pPr>
      <w:r w:rsidRPr="002B2E05">
        <w:rPr>
          <w:rFonts w:asciiTheme="minorHAnsi" w:hAnsiTheme="minorHAnsi" w:cs="Tahoma"/>
        </w:rPr>
        <w:t xml:space="preserve">The decision of the </w:t>
      </w:r>
      <w:r w:rsidR="00846AE1" w:rsidRPr="002B2E05">
        <w:rPr>
          <w:rFonts w:asciiTheme="minorHAnsi" w:hAnsiTheme="minorHAnsi" w:cs="Tahoma"/>
        </w:rPr>
        <w:t>P</w:t>
      </w:r>
      <w:r w:rsidRPr="002B2E05">
        <w:rPr>
          <w:rFonts w:asciiTheme="minorHAnsi" w:hAnsiTheme="minorHAnsi" w:cs="Tahoma"/>
        </w:rPr>
        <w:t xml:space="preserve">anel, along with any relevant supporting information or terms of use, will be recorded in full by the Panel on the relevant section of Form </w:t>
      </w:r>
      <w:r w:rsidR="00084C12" w:rsidRPr="002B2E05">
        <w:rPr>
          <w:rFonts w:asciiTheme="minorHAnsi" w:hAnsiTheme="minorHAnsi" w:cs="Tahoma"/>
        </w:rPr>
        <w:t>IPTR3</w:t>
      </w:r>
      <w:r w:rsidRPr="002B2E05">
        <w:rPr>
          <w:rFonts w:asciiTheme="minorHAnsi" w:hAnsiTheme="minorHAnsi" w:cs="Tahoma"/>
        </w:rPr>
        <w:t xml:space="preserve">.  It is essential that any decision is documented carefully.  This information should include a clear explanation and justification of the decision, dates of any meetings and full details of all those involved.  </w:t>
      </w:r>
    </w:p>
    <w:p w14:paraId="41631E83" w14:textId="77777777" w:rsidR="001261E4" w:rsidRPr="002B2E05" w:rsidRDefault="001261E4" w:rsidP="001261E4">
      <w:pPr>
        <w:ind w:right="-56"/>
        <w:jc w:val="both"/>
        <w:rPr>
          <w:rFonts w:asciiTheme="minorHAnsi" w:hAnsiTheme="minorHAnsi" w:cs="Tahoma"/>
        </w:rPr>
      </w:pPr>
    </w:p>
    <w:p w14:paraId="41631E84" w14:textId="77777777" w:rsidR="001261E4" w:rsidRPr="002B2E05" w:rsidRDefault="001261E4" w:rsidP="001261E4">
      <w:pPr>
        <w:ind w:right="-56"/>
        <w:jc w:val="both"/>
        <w:rPr>
          <w:rFonts w:asciiTheme="minorHAnsi" w:hAnsiTheme="minorHAnsi" w:cs="Tahoma"/>
        </w:rPr>
      </w:pPr>
      <w:r w:rsidRPr="002B2E05">
        <w:rPr>
          <w:rFonts w:asciiTheme="minorHAnsi" w:hAnsiTheme="minorHAnsi" w:cs="Tahoma"/>
        </w:rPr>
        <w:t xml:space="preserve">On reaching a decision, a written note of the IPTR outcome and a copy of </w:t>
      </w:r>
      <w:r w:rsidR="00084C12" w:rsidRPr="002B2E05">
        <w:rPr>
          <w:rFonts w:asciiTheme="minorHAnsi" w:hAnsiTheme="minorHAnsi" w:cs="Tahoma"/>
        </w:rPr>
        <w:t xml:space="preserve">the fully completed </w:t>
      </w:r>
      <w:r w:rsidRPr="002B2E05">
        <w:rPr>
          <w:rFonts w:asciiTheme="minorHAnsi" w:hAnsiTheme="minorHAnsi" w:cs="Tahoma"/>
        </w:rPr>
        <w:t>Form IPTR</w:t>
      </w:r>
      <w:r w:rsidR="00084C12" w:rsidRPr="002B2E05">
        <w:rPr>
          <w:rFonts w:asciiTheme="minorHAnsi" w:hAnsiTheme="minorHAnsi" w:cs="Tahoma"/>
        </w:rPr>
        <w:t>3</w:t>
      </w:r>
      <w:r w:rsidRPr="002B2E05">
        <w:rPr>
          <w:rFonts w:asciiTheme="minorHAnsi" w:hAnsiTheme="minorHAnsi" w:cs="Tahoma"/>
        </w:rPr>
        <w:t xml:space="preserve"> </w:t>
      </w:r>
      <w:r w:rsidR="003A1E81" w:rsidRPr="002B2E05">
        <w:rPr>
          <w:rFonts w:asciiTheme="minorHAnsi" w:hAnsiTheme="minorHAnsi" w:cs="Tahoma"/>
        </w:rPr>
        <w:t xml:space="preserve">will </w:t>
      </w:r>
      <w:r w:rsidRPr="002B2E05">
        <w:rPr>
          <w:rFonts w:asciiTheme="minorHAnsi" w:hAnsiTheme="minorHAnsi" w:cs="Tahoma"/>
        </w:rPr>
        <w:t xml:space="preserve">be provided to the requesting clinician, by the IPTR Panel Chair. This will provide </w:t>
      </w:r>
      <w:proofErr w:type="gramStart"/>
      <w:r w:rsidRPr="002B2E05">
        <w:rPr>
          <w:rFonts w:asciiTheme="minorHAnsi" w:hAnsiTheme="minorHAnsi" w:cs="Tahoma"/>
        </w:rPr>
        <w:t>a brief summary</w:t>
      </w:r>
      <w:proofErr w:type="gramEnd"/>
      <w:r w:rsidRPr="002B2E05">
        <w:rPr>
          <w:rFonts w:asciiTheme="minorHAnsi" w:hAnsiTheme="minorHAnsi" w:cs="Tahoma"/>
        </w:rPr>
        <w:t xml:space="preserve"> of the rationale for the decision</w:t>
      </w:r>
      <w:r w:rsidR="00084C12" w:rsidRPr="002B2E05">
        <w:rPr>
          <w:rFonts w:asciiTheme="minorHAnsi" w:hAnsiTheme="minorHAnsi" w:cs="Tahoma"/>
        </w:rPr>
        <w:t>.</w:t>
      </w:r>
      <w:r w:rsidRPr="002B2E05">
        <w:rPr>
          <w:rFonts w:asciiTheme="minorHAnsi" w:hAnsiTheme="minorHAnsi" w:cs="Tahoma"/>
        </w:rPr>
        <w:t xml:space="preserve">  </w:t>
      </w:r>
    </w:p>
    <w:p w14:paraId="41631E85" w14:textId="77777777" w:rsidR="001261E4" w:rsidRPr="002B2E05" w:rsidRDefault="001261E4" w:rsidP="001261E4">
      <w:pPr>
        <w:ind w:right="-56"/>
        <w:jc w:val="both"/>
        <w:rPr>
          <w:rFonts w:asciiTheme="minorHAnsi" w:hAnsiTheme="minorHAnsi" w:cs="Tahoma"/>
        </w:rPr>
      </w:pPr>
    </w:p>
    <w:p w14:paraId="41631E86" w14:textId="6F5CB73F" w:rsidR="001261E4" w:rsidRPr="002B2E05" w:rsidRDefault="001261E4" w:rsidP="066D4B6B">
      <w:pPr>
        <w:ind w:right="-56"/>
        <w:jc w:val="both"/>
        <w:rPr>
          <w:rFonts w:asciiTheme="minorHAnsi" w:hAnsiTheme="minorHAnsi" w:cs="Tahoma"/>
        </w:rPr>
      </w:pPr>
      <w:r w:rsidRPr="066D4B6B">
        <w:rPr>
          <w:rFonts w:asciiTheme="minorHAnsi" w:hAnsiTheme="minorHAnsi" w:cs="Tahoma"/>
        </w:rPr>
        <w:t xml:space="preserve">The requesting clinician will then have the responsibility to communicate this decision to the patient or patient’s representative.  </w:t>
      </w:r>
      <w:r w:rsidR="00B01BD6" w:rsidRPr="066D4B6B">
        <w:rPr>
          <w:rFonts w:asciiTheme="minorHAnsi" w:hAnsiTheme="minorHAnsi" w:cs="Tahoma"/>
        </w:rPr>
        <w:t xml:space="preserve">If positive, then the medicine can be prescribed on the NHS with immediate effect, dependent on the individual circumstances of the case.  </w:t>
      </w:r>
      <w:r w:rsidR="003C5BA9" w:rsidRPr="066D4B6B">
        <w:rPr>
          <w:rFonts w:asciiTheme="minorHAnsi" w:hAnsiTheme="minorHAnsi" w:cs="Tahoma"/>
        </w:rPr>
        <w:t>If negative, when</w:t>
      </w:r>
      <w:r w:rsidRPr="066D4B6B">
        <w:rPr>
          <w:rFonts w:asciiTheme="minorHAnsi" w:hAnsiTheme="minorHAnsi" w:cs="Tahoma"/>
        </w:rPr>
        <w:t xml:space="preserve"> discussing </w:t>
      </w:r>
      <w:r w:rsidR="003C5BA9" w:rsidRPr="066D4B6B">
        <w:rPr>
          <w:rFonts w:asciiTheme="minorHAnsi" w:hAnsiTheme="minorHAnsi" w:cs="Tahoma"/>
        </w:rPr>
        <w:t xml:space="preserve">this outcome for the </w:t>
      </w:r>
      <w:r w:rsidRPr="066D4B6B">
        <w:rPr>
          <w:rFonts w:asciiTheme="minorHAnsi" w:hAnsiTheme="minorHAnsi" w:cs="Tahoma"/>
        </w:rPr>
        <w:t>IPTR, the clinician should also clarify the options open to the patient for future treatment including the possibility of an appeal if there are grounds for this.</w:t>
      </w:r>
      <w:r w:rsidR="002236EB" w:rsidRPr="066D4B6B">
        <w:rPr>
          <w:rFonts w:asciiTheme="minorHAnsi" w:hAnsiTheme="minorHAnsi" w:cs="Tahoma"/>
        </w:rPr>
        <w:t xml:space="preserve"> The option to appeal (Section </w:t>
      </w:r>
      <w:r w:rsidR="00633780" w:rsidRPr="066D4B6B">
        <w:rPr>
          <w:rFonts w:asciiTheme="minorHAnsi" w:hAnsiTheme="minorHAnsi" w:cs="Tahoma"/>
        </w:rPr>
        <w:t>1</w:t>
      </w:r>
      <w:r w:rsidR="00E62B20" w:rsidRPr="066D4B6B">
        <w:rPr>
          <w:rFonts w:asciiTheme="minorHAnsi" w:hAnsiTheme="minorHAnsi" w:cs="Tahoma"/>
        </w:rPr>
        <w:t>5</w:t>
      </w:r>
      <w:r w:rsidR="002236EB" w:rsidRPr="066D4B6B">
        <w:rPr>
          <w:rFonts w:asciiTheme="minorHAnsi" w:hAnsiTheme="minorHAnsi" w:cs="Tahoma"/>
        </w:rPr>
        <w:t>) is available to the clinician, in consultation with the patient, within 2 months of the IPTR decision.</w:t>
      </w:r>
    </w:p>
    <w:p w14:paraId="41631E87" w14:textId="77777777" w:rsidR="001261E4" w:rsidRPr="002B2E05" w:rsidRDefault="001261E4" w:rsidP="001261E4">
      <w:pPr>
        <w:ind w:right="-56"/>
        <w:jc w:val="both"/>
        <w:rPr>
          <w:rFonts w:asciiTheme="minorHAnsi" w:hAnsiTheme="minorHAnsi" w:cs="Tahoma"/>
        </w:rPr>
      </w:pPr>
    </w:p>
    <w:p w14:paraId="41631E88" w14:textId="7A61BAB5" w:rsidR="001261E4" w:rsidRPr="002B2E05" w:rsidRDefault="001261E4" w:rsidP="066D4B6B">
      <w:pPr>
        <w:ind w:right="-56"/>
        <w:jc w:val="both"/>
        <w:rPr>
          <w:rFonts w:asciiTheme="minorHAnsi" w:hAnsiTheme="minorHAnsi" w:cs="Tahoma"/>
        </w:rPr>
      </w:pPr>
      <w:r w:rsidRPr="066D4B6B">
        <w:rPr>
          <w:rFonts w:asciiTheme="minorHAnsi" w:hAnsiTheme="minorHAnsi" w:cs="Tahoma"/>
        </w:rPr>
        <w:t>A copy of the completed Form IPTR3,</w:t>
      </w:r>
      <w:r w:rsidR="001D434D" w:rsidRPr="066D4B6B">
        <w:rPr>
          <w:rFonts w:asciiTheme="minorHAnsi" w:hAnsiTheme="minorHAnsi" w:cs="Tahoma"/>
        </w:rPr>
        <w:t xml:space="preserve"> </w:t>
      </w:r>
      <w:r w:rsidRPr="066D4B6B">
        <w:rPr>
          <w:rFonts w:asciiTheme="minorHAnsi" w:hAnsiTheme="minorHAnsi" w:cs="Tahoma"/>
        </w:rPr>
        <w:t xml:space="preserve">regardless of the outcome of the review, should be sent to the </w:t>
      </w:r>
      <w:r w:rsidR="00B82DE6" w:rsidRPr="066D4B6B">
        <w:rPr>
          <w:rFonts w:asciiTheme="minorHAnsi" w:hAnsiTheme="minorHAnsi" w:cs="Tahoma"/>
        </w:rPr>
        <w:t xml:space="preserve">IPTR shared inbox </w:t>
      </w:r>
      <w:hyperlink r:id="rId19" w:history="1">
        <w:r w:rsidR="006D615D" w:rsidRPr="066D4B6B">
          <w:rPr>
            <w:rStyle w:val="Hyperlink"/>
            <w:rFonts w:asciiTheme="minorHAnsi" w:hAnsiTheme="minorHAnsi" w:cs="Tahoma"/>
          </w:rPr>
          <w:t>ggc.iptr.register@nhs.scot</w:t>
        </w:r>
      </w:hyperlink>
      <w:r w:rsidRPr="066D4B6B">
        <w:rPr>
          <w:rFonts w:asciiTheme="minorHAnsi" w:hAnsiTheme="minorHAnsi" w:cs="Tahoma"/>
        </w:rPr>
        <w:t xml:space="preserve">.  The AMD </w:t>
      </w:r>
      <w:r w:rsidR="003A1E81" w:rsidRPr="066D4B6B">
        <w:rPr>
          <w:rFonts w:asciiTheme="minorHAnsi" w:hAnsiTheme="minorHAnsi" w:cs="Tahoma"/>
        </w:rPr>
        <w:t xml:space="preserve">should </w:t>
      </w:r>
      <w:r w:rsidRPr="066D4B6B">
        <w:rPr>
          <w:rFonts w:asciiTheme="minorHAnsi" w:hAnsiTheme="minorHAnsi" w:cs="Tahoma"/>
        </w:rPr>
        <w:t>retain a copy of all documents for their own records, which may help in the evaluation of future requests for the same medicine.</w:t>
      </w:r>
    </w:p>
    <w:p w14:paraId="41631E89" w14:textId="77777777" w:rsidR="00DD4D49" w:rsidRPr="002B2E05" w:rsidRDefault="00DD4D49" w:rsidP="001261E4">
      <w:pPr>
        <w:ind w:right="-56"/>
        <w:jc w:val="both"/>
        <w:rPr>
          <w:rFonts w:asciiTheme="minorHAnsi" w:hAnsiTheme="minorHAnsi" w:cs="Tahoma"/>
        </w:rPr>
      </w:pPr>
    </w:p>
    <w:p w14:paraId="41631E8A" w14:textId="77777777" w:rsidR="00DD4D49" w:rsidRPr="002B2E05" w:rsidRDefault="00DD4D49" w:rsidP="3E5F1D72">
      <w:pPr>
        <w:ind w:right="-56"/>
        <w:jc w:val="both"/>
        <w:rPr>
          <w:rFonts w:asciiTheme="minorHAnsi" w:hAnsiTheme="minorHAnsi" w:cs="Tahoma"/>
        </w:rPr>
      </w:pPr>
      <w:r w:rsidRPr="3E5F1D72">
        <w:rPr>
          <w:rFonts w:asciiTheme="minorHAnsi" w:hAnsiTheme="minorHAnsi" w:cs="Tahoma"/>
        </w:rPr>
        <w:t xml:space="preserve">Data from the IPTR documentation will then be collated in a secure database complying with Scottish Government advice.  </w:t>
      </w:r>
    </w:p>
    <w:p w14:paraId="0E4D2AC5" w14:textId="06B1A302" w:rsidR="3E5F1D72" w:rsidRDefault="3E5F1D72" w:rsidP="3E5F1D72">
      <w:pPr>
        <w:ind w:right="-56"/>
        <w:jc w:val="both"/>
        <w:rPr>
          <w:rFonts w:asciiTheme="minorHAnsi" w:hAnsiTheme="minorHAnsi" w:cs="Tahoma"/>
        </w:rPr>
      </w:pPr>
    </w:p>
    <w:p w14:paraId="45A4CF34" w14:textId="38C4F8CD" w:rsidR="36106B46" w:rsidRDefault="36106B46" w:rsidP="3E5F1D72">
      <w:pPr>
        <w:ind w:right="-56"/>
        <w:jc w:val="both"/>
        <w:rPr>
          <w:rFonts w:asciiTheme="minorHAnsi" w:hAnsiTheme="minorHAnsi" w:cs="Tahoma"/>
        </w:rPr>
      </w:pPr>
      <w:r w:rsidRPr="3E5F1D72">
        <w:rPr>
          <w:rFonts w:asciiTheme="minorHAnsi" w:hAnsiTheme="minorHAnsi" w:cs="Tahoma"/>
        </w:rPr>
        <w:t>Where there is an expectation that a medicine being requested for use will be continued to be prescribed and supplied within primary care, it is the responsibility of the requesting clinician to ensure</w:t>
      </w:r>
      <w:r w:rsidR="2E23D13E" w:rsidRPr="3E5F1D72">
        <w:rPr>
          <w:rFonts w:asciiTheme="minorHAnsi" w:hAnsiTheme="minorHAnsi" w:cs="Tahoma"/>
        </w:rPr>
        <w:t xml:space="preserve"> that the relevant prescriber in primary care is aware of the status of the request.</w:t>
      </w:r>
    </w:p>
    <w:p w14:paraId="41631E8B" w14:textId="77777777" w:rsidR="001261E4" w:rsidRPr="002B2E05" w:rsidRDefault="001261E4" w:rsidP="001261E4">
      <w:pPr>
        <w:ind w:right="-56"/>
        <w:jc w:val="both"/>
        <w:rPr>
          <w:rFonts w:asciiTheme="minorHAnsi" w:hAnsiTheme="minorHAnsi" w:cs="Tahoma"/>
        </w:rPr>
      </w:pPr>
    </w:p>
    <w:p w14:paraId="41631E8C" w14:textId="77777777" w:rsidR="001261E4" w:rsidRPr="002B2E05" w:rsidRDefault="004050A0" w:rsidP="004050A0">
      <w:pPr>
        <w:pStyle w:val="BodyText"/>
        <w:numPr>
          <w:ilvl w:val="0"/>
          <w:numId w:val="21"/>
        </w:numPr>
        <w:pBdr>
          <w:top w:val="single" w:sz="4" w:space="1" w:color="auto"/>
        </w:pBdr>
        <w:jc w:val="both"/>
        <w:rPr>
          <w:rFonts w:asciiTheme="minorHAnsi" w:hAnsiTheme="minorHAnsi" w:cstheme="minorHAnsi"/>
          <w:color w:val="1F497D"/>
        </w:rPr>
      </w:pPr>
      <w:r>
        <w:rPr>
          <w:rFonts w:asciiTheme="minorHAnsi" w:hAnsiTheme="minorHAnsi" w:cstheme="minorHAnsi"/>
          <w:color w:val="1F497D"/>
        </w:rPr>
        <w:t>IPTR appeal</w:t>
      </w:r>
    </w:p>
    <w:p w14:paraId="41631E8D" w14:textId="77777777" w:rsidR="004050A0" w:rsidRDefault="004050A0" w:rsidP="00962732">
      <w:pPr>
        <w:ind w:right="-56"/>
        <w:jc w:val="both"/>
        <w:rPr>
          <w:rFonts w:asciiTheme="minorHAnsi" w:hAnsiTheme="minorHAnsi" w:cs="Tahoma"/>
        </w:rPr>
      </w:pPr>
    </w:p>
    <w:p w14:paraId="41631E8E" w14:textId="49CF8B10" w:rsidR="00962732" w:rsidRPr="002B2E05" w:rsidRDefault="00962732" w:rsidP="066D4B6B">
      <w:pPr>
        <w:ind w:right="-56"/>
        <w:jc w:val="both"/>
        <w:rPr>
          <w:rFonts w:asciiTheme="minorHAnsi" w:hAnsiTheme="minorHAnsi" w:cs="Tahoma"/>
        </w:rPr>
      </w:pPr>
      <w:r w:rsidRPr="066D4B6B">
        <w:rPr>
          <w:rFonts w:asciiTheme="minorHAnsi" w:hAnsiTheme="minorHAnsi" w:cs="Tahoma"/>
        </w:rPr>
        <w:t>A consultant has the right to ask for a review of the process or decision applied to an IPTR declined at</w:t>
      </w:r>
      <w:r w:rsidR="001D434D" w:rsidRPr="066D4B6B">
        <w:rPr>
          <w:rFonts w:asciiTheme="minorHAnsi" w:hAnsiTheme="minorHAnsi" w:cs="Tahoma"/>
        </w:rPr>
        <w:t xml:space="preserve"> sector level (or in the case haemato-oncology, oncology or neurology at service level)</w:t>
      </w:r>
      <w:r w:rsidRPr="066D4B6B">
        <w:rPr>
          <w:rFonts w:asciiTheme="minorHAnsi" w:hAnsiTheme="minorHAnsi" w:cs="Tahoma"/>
        </w:rPr>
        <w:t xml:space="preserve">. </w:t>
      </w:r>
      <w:r>
        <w:tab/>
      </w:r>
      <w:r w:rsidR="002D6698" w:rsidRPr="066D4B6B">
        <w:rPr>
          <w:rFonts w:asciiTheme="minorHAnsi" w:hAnsiTheme="minorHAnsi" w:cs="Tahoma"/>
        </w:rPr>
        <w:t xml:space="preserve">For details of the IPTR Appeal process, see separate </w:t>
      </w:r>
      <w:hyperlink r:id="rId20" w:history="1">
        <w:r w:rsidR="004F2FB5" w:rsidRPr="004F2FB5">
          <w:rPr>
            <w:rStyle w:val="Hyperlink"/>
            <w:rFonts w:asciiTheme="minorHAnsi" w:hAnsiTheme="minorHAnsi" w:cs="Tahoma"/>
          </w:rPr>
          <w:t>policy</w:t>
        </w:r>
      </w:hyperlink>
      <w:r w:rsidR="002D6698" w:rsidRPr="066D4B6B">
        <w:rPr>
          <w:rFonts w:asciiTheme="minorHAnsi" w:hAnsiTheme="minorHAnsi" w:cs="Tahoma"/>
        </w:rPr>
        <w:t>.</w:t>
      </w:r>
    </w:p>
    <w:p w14:paraId="41631E8F" w14:textId="77777777" w:rsidR="00910B32" w:rsidRPr="002B2E05" w:rsidRDefault="00910B32" w:rsidP="001261E4">
      <w:pPr>
        <w:ind w:right="-56"/>
        <w:jc w:val="both"/>
        <w:rPr>
          <w:rFonts w:asciiTheme="minorHAnsi" w:hAnsiTheme="minorHAnsi" w:cs="Tahoma"/>
          <w:b/>
          <w:caps/>
          <w:color w:val="000080"/>
        </w:rPr>
      </w:pPr>
    </w:p>
    <w:p w14:paraId="41631E90" w14:textId="77777777" w:rsidR="00910B32" w:rsidRPr="002B2E05" w:rsidRDefault="00910B32" w:rsidP="004050A0">
      <w:pPr>
        <w:pStyle w:val="BodyText"/>
        <w:numPr>
          <w:ilvl w:val="0"/>
          <w:numId w:val="21"/>
        </w:numPr>
        <w:pBdr>
          <w:top w:val="single" w:sz="4" w:space="1" w:color="auto"/>
        </w:pBdr>
        <w:jc w:val="both"/>
        <w:rPr>
          <w:rFonts w:asciiTheme="minorHAnsi" w:hAnsiTheme="minorHAnsi" w:cstheme="minorHAnsi"/>
          <w:color w:val="1F497D"/>
        </w:rPr>
      </w:pPr>
      <w:r w:rsidRPr="002B2E05">
        <w:rPr>
          <w:rFonts w:asciiTheme="minorHAnsi" w:hAnsiTheme="minorHAnsi" w:cstheme="minorHAnsi"/>
          <w:color w:val="1F497D"/>
        </w:rPr>
        <w:t>R</w:t>
      </w:r>
      <w:r w:rsidR="004050A0">
        <w:rPr>
          <w:rFonts w:asciiTheme="minorHAnsi" w:hAnsiTheme="minorHAnsi" w:cstheme="minorHAnsi"/>
          <w:color w:val="1F497D"/>
        </w:rPr>
        <w:t>eapplication through IPTR process</w:t>
      </w:r>
    </w:p>
    <w:p w14:paraId="41631E91" w14:textId="77777777" w:rsidR="004050A0" w:rsidRDefault="004050A0" w:rsidP="005F313E">
      <w:pPr>
        <w:ind w:right="-56"/>
        <w:jc w:val="both"/>
        <w:rPr>
          <w:rFonts w:asciiTheme="minorHAnsi" w:hAnsiTheme="minorHAnsi" w:cs="Tahoma"/>
          <w:color w:val="000000"/>
        </w:rPr>
      </w:pPr>
    </w:p>
    <w:p w14:paraId="41631E92" w14:textId="3BBB2DAD" w:rsidR="005F313E" w:rsidRPr="002B2E05" w:rsidRDefault="005F313E" w:rsidP="066D4B6B">
      <w:pPr>
        <w:ind w:right="-56"/>
        <w:jc w:val="both"/>
        <w:rPr>
          <w:rFonts w:asciiTheme="minorHAnsi" w:hAnsiTheme="minorHAnsi" w:cs="Tahoma"/>
          <w:color w:val="000000"/>
        </w:rPr>
      </w:pPr>
      <w:r w:rsidRPr="066D4B6B">
        <w:rPr>
          <w:rFonts w:asciiTheme="minorHAnsi" w:hAnsiTheme="minorHAnsi" w:cs="Tahoma"/>
          <w:color w:val="000000" w:themeColor="text1"/>
        </w:rPr>
        <w:t xml:space="preserve">Should an IPTR and a subsequent IPTR Appeal be rejected, the options remaining to the patient, including the potential procurement of the </w:t>
      </w:r>
      <w:r w:rsidR="00891B5C" w:rsidRPr="066D4B6B">
        <w:rPr>
          <w:rFonts w:asciiTheme="minorHAnsi" w:hAnsiTheme="minorHAnsi" w:cs="Tahoma"/>
          <w:color w:val="000000" w:themeColor="text1"/>
        </w:rPr>
        <w:t xml:space="preserve">requested </w:t>
      </w:r>
      <w:r w:rsidRPr="066D4B6B">
        <w:rPr>
          <w:rFonts w:asciiTheme="minorHAnsi" w:hAnsiTheme="minorHAnsi" w:cs="Tahoma"/>
          <w:color w:val="000000" w:themeColor="text1"/>
        </w:rPr>
        <w:t xml:space="preserve">medicine via a </w:t>
      </w:r>
      <w:hyperlink r:id="rId21" w:history="1">
        <w:r w:rsidRPr="007228F9">
          <w:rPr>
            <w:rStyle w:val="Hyperlink"/>
            <w:rFonts w:asciiTheme="minorHAnsi" w:hAnsiTheme="minorHAnsi" w:cs="Tahoma"/>
          </w:rPr>
          <w:t>co</w:t>
        </w:r>
        <w:r w:rsidR="00807EAE" w:rsidRPr="007228F9">
          <w:rPr>
            <w:rStyle w:val="Hyperlink"/>
            <w:rFonts w:asciiTheme="minorHAnsi" w:hAnsiTheme="minorHAnsi" w:cs="Tahoma"/>
          </w:rPr>
          <w:t>-</w:t>
        </w:r>
        <w:r w:rsidRPr="007228F9">
          <w:rPr>
            <w:rStyle w:val="Hyperlink"/>
            <w:rFonts w:asciiTheme="minorHAnsi" w:hAnsiTheme="minorHAnsi" w:cs="Tahoma"/>
          </w:rPr>
          <w:t>payment agreement</w:t>
        </w:r>
      </w:hyperlink>
      <w:r w:rsidRPr="066D4B6B">
        <w:rPr>
          <w:rFonts w:asciiTheme="minorHAnsi" w:hAnsiTheme="minorHAnsi" w:cs="Tahoma"/>
          <w:color w:val="000000" w:themeColor="text1"/>
        </w:rPr>
        <w:t xml:space="preserve"> (see </w:t>
      </w:r>
      <w:r w:rsidR="004050A0" w:rsidRPr="066D4B6B">
        <w:rPr>
          <w:rFonts w:asciiTheme="minorHAnsi" w:hAnsiTheme="minorHAnsi" w:cs="Tahoma"/>
          <w:color w:val="000000" w:themeColor="text1"/>
        </w:rPr>
        <w:t xml:space="preserve">separate guidance) </w:t>
      </w:r>
      <w:r w:rsidRPr="066D4B6B">
        <w:rPr>
          <w:rFonts w:asciiTheme="minorHAnsi" w:hAnsiTheme="minorHAnsi" w:cs="Tahoma"/>
          <w:color w:val="000000" w:themeColor="text1"/>
        </w:rPr>
        <w:t xml:space="preserve">will be </w:t>
      </w:r>
      <w:r w:rsidR="00891B5C" w:rsidRPr="066D4B6B">
        <w:rPr>
          <w:rFonts w:asciiTheme="minorHAnsi" w:hAnsiTheme="minorHAnsi" w:cs="Tahoma"/>
          <w:color w:val="000000" w:themeColor="text1"/>
        </w:rPr>
        <w:t>outlined</w:t>
      </w:r>
      <w:r w:rsidRPr="066D4B6B">
        <w:rPr>
          <w:rFonts w:asciiTheme="minorHAnsi" w:hAnsiTheme="minorHAnsi" w:cs="Tahoma"/>
          <w:color w:val="000000" w:themeColor="text1"/>
        </w:rPr>
        <w:t xml:space="preserve"> by the patient</w:t>
      </w:r>
      <w:r w:rsidR="00891B5C" w:rsidRPr="066D4B6B">
        <w:rPr>
          <w:rFonts w:asciiTheme="minorHAnsi" w:hAnsiTheme="minorHAnsi" w:cs="Tahoma"/>
          <w:color w:val="000000" w:themeColor="text1"/>
        </w:rPr>
        <w:t>’</w:t>
      </w:r>
      <w:r w:rsidRPr="066D4B6B">
        <w:rPr>
          <w:rFonts w:asciiTheme="minorHAnsi" w:hAnsiTheme="minorHAnsi" w:cs="Tahoma"/>
          <w:color w:val="000000" w:themeColor="text1"/>
        </w:rPr>
        <w:t>s clinician.</w:t>
      </w:r>
    </w:p>
    <w:p w14:paraId="41631E93" w14:textId="77777777" w:rsidR="005F313E" w:rsidRPr="002B2E05" w:rsidRDefault="005F313E" w:rsidP="005F313E">
      <w:pPr>
        <w:ind w:right="-56"/>
        <w:jc w:val="both"/>
        <w:rPr>
          <w:rFonts w:asciiTheme="minorHAnsi" w:hAnsiTheme="minorHAnsi" w:cs="Tahoma"/>
          <w:color w:val="000000"/>
        </w:rPr>
      </w:pPr>
    </w:p>
    <w:p w14:paraId="41631E94" w14:textId="77777777" w:rsidR="005F313E" w:rsidRPr="002B2E05" w:rsidRDefault="005F313E" w:rsidP="005F313E">
      <w:pPr>
        <w:tabs>
          <w:tab w:val="num" w:pos="540"/>
        </w:tabs>
        <w:jc w:val="both"/>
        <w:rPr>
          <w:rFonts w:asciiTheme="minorHAnsi" w:hAnsiTheme="minorHAnsi" w:cs="Tahoma"/>
        </w:rPr>
      </w:pPr>
      <w:r w:rsidRPr="002B2E05">
        <w:rPr>
          <w:rFonts w:asciiTheme="minorHAnsi" w:hAnsiTheme="minorHAnsi" w:cs="Tahoma"/>
        </w:rPr>
        <w:t>If the medicine/indication/formulation subsequently becomes accepted for use within NHS Scotland through SMC, the individual case and appropriateness of the treatment will be re</w:t>
      </w:r>
      <w:r w:rsidR="00891B5C" w:rsidRPr="002B2E05">
        <w:rPr>
          <w:rFonts w:asciiTheme="minorHAnsi" w:hAnsiTheme="minorHAnsi" w:cs="Tahoma"/>
        </w:rPr>
        <w:t>-evaluated</w:t>
      </w:r>
      <w:r w:rsidRPr="002B2E05">
        <w:rPr>
          <w:rFonts w:asciiTheme="minorHAnsi" w:hAnsiTheme="minorHAnsi" w:cs="Tahoma"/>
        </w:rPr>
        <w:t xml:space="preserve"> by the patient’s clinician.</w:t>
      </w:r>
    </w:p>
    <w:p w14:paraId="41631E95" w14:textId="77777777" w:rsidR="005F313E" w:rsidRPr="002B2E05" w:rsidRDefault="005F313E" w:rsidP="005F313E">
      <w:pPr>
        <w:tabs>
          <w:tab w:val="num" w:pos="540"/>
        </w:tabs>
        <w:jc w:val="both"/>
        <w:rPr>
          <w:rFonts w:asciiTheme="minorHAnsi" w:hAnsiTheme="minorHAnsi" w:cs="Tahoma"/>
        </w:rPr>
      </w:pPr>
    </w:p>
    <w:p w14:paraId="41631E96" w14:textId="77777777" w:rsidR="005F313E" w:rsidRPr="002B2E05" w:rsidRDefault="005F313E" w:rsidP="00891B5C">
      <w:pPr>
        <w:jc w:val="both"/>
        <w:rPr>
          <w:rFonts w:asciiTheme="minorHAnsi" w:hAnsiTheme="minorHAnsi" w:cs="Tahoma"/>
        </w:rPr>
      </w:pPr>
      <w:r w:rsidRPr="002B2E05">
        <w:rPr>
          <w:rFonts w:asciiTheme="minorHAnsi" w:hAnsiTheme="minorHAnsi" w:cs="Tahoma"/>
        </w:rPr>
        <w:t xml:space="preserve">Should new clinical evidence emerge for an individual case </w:t>
      </w:r>
      <w:r w:rsidR="00C2492B" w:rsidRPr="002B2E05">
        <w:rPr>
          <w:rFonts w:asciiTheme="minorHAnsi" w:hAnsiTheme="minorHAnsi" w:cs="Tahoma"/>
        </w:rPr>
        <w:t xml:space="preserve">or there is a </w:t>
      </w:r>
      <w:r w:rsidRPr="002B2E05">
        <w:rPr>
          <w:rFonts w:asciiTheme="minorHAnsi" w:hAnsiTheme="minorHAnsi" w:cs="Tahoma"/>
        </w:rPr>
        <w:t>material change in the patient’s condition</w:t>
      </w:r>
      <w:r w:rsidR="00C2492B" w:rsidRPr="002B2E05">
        <w:rPr>
          <w:rFonts w:asciiTheme="minorHAnsi" w:hAnsiTheme="minorHAnsi" w:cs="Tahoma"/>
        </w:rPr>
        <w:t xml:space="preserve"> that may impact on the outcome of the IPTR</w:t>
      </w:r>
      <w:r w:rsidRPr="002B2E05">
        <w:rPr>
          <w:rFonts w:asciiTheme="minorHAnsi" w:hAnsiTheme="minorHAnsi" w:cs="Tahoma"/>
        </w:rPr>
        <w:t>, application of a new IPTR at directorate level may be considered</w:t>
      </w:r>
      <w:r w:rsidR="00891B5C" w:rsidRPr="002B2E05">
        <w:rPr>
          <w:rFonts w:asciiTheme="minorHAnsi" w:hAnsiTheme="minorHAnsi" w:cs="Tahoma"/>
        </w:rPr>
        <w:t xml:space="preserve"> where the clinician is in support.</w:t>
      </w:r>
    </w:p>
    <w:p w14:paraId="41631E97" w14:textId="77777777" w:rsidR="005F313E" w:rsidRPr="002B2E05" w:rsidRDefault="005F313E" w:rsidP="005F313E">
      <w:pPr>
        <w:ind w:right="-56"/>
        <w:jc w:val="both"/>
        <w:rPr>
          <w:rFonts w:asciiTheme="minorHAnsi" w:hAnsiTheme="minorHAnsi" w:cs="Tahoma"/>
          <w:color w:val="000000"/>
        </w:rPr>
      </w:pPr>
    </w:p>
    <w:p w14:paraId="41631E98" w14:textId="77777777" w:rsidR="005F313E" w:rsidRPr="002B2E05" w:rsidRDefault="005F313E" w:rsidP="005F313E">
      <w:pPr>
        <w:ind w:right="-56"/>
        <w:jc w:val="both"/>
        <w:rPr>
          <w:rFonts w:asciiTheme="minorHAnsi" w:hAnsiTheme="minorHAnsi" w:cs="Tahoma"/>
          <w:color w:val="000000"/>
        </w:rPr>
      </w:pPr>
    </w:p>
    <w:p w14:paraId="41631E99" w14:textId="77777777" w:rsidR="001E7675" w:rsidRPr="002B2E05" w:rsidRDefault="00D62251" w:rsidP="00D62251">
      <w:pPr>
        <w:jc w:val="both"/>
        <w:rPr>
          <w:rFonts w:asciiTheme="minorHAnsi" w:hAnsiTheme="minorHAnsi" w:cs="Tahoma"/>
          <w:b/>
          <w:caps/>
          <w:color w:val="000080"/>
        </w:rPr>
      </w:pPr>
      <w:r w:rsidRPr="002B2E05">
        <w:rPr>
          <w:rFonts w:asciiTheme="minorHAnsi" w:hAnsiTheme="minorHAnsi" w:cs="Tahoma"/>
          <w:b/>
          <w:caps/>
          <w:color w:val="000080"/>
        </w:rPr>
        <w:br w:type="page"/>
      </w:r>
      <w:r w:rsidRPr="002B2E05">
        <w:rPr>
          <w:rFonts w:asciiTheme="minorHAnsi" w:hAnsiTheme="minorHAnsi" w:cs="Tahoma"/>
          <w:b/>
          <w:caps/>
          <w:color w:val="000080"/>
        </w:rPr>
        <w:lastRenderedPageBreak/>
        <w:t>Appendix 1:</w:t>
      </w:r>
      <w:r w:rsidR="001167E7" w:rsidRPr="002B2E05">
        <w:rPr>
          <w:rFonts w:asciiTheme="minorHAnsi" w:hAnsiTheme="minorHAnsi" w:cs="Tahoma"/>
          <w:b/>
          <w:caps/>
          <w:color w:val="000080"/>
        </w:rPr>
        <w:t xml:space="preserve"> Individual patient treatment request evidence briefing</w:t>
      </w:r>
    </w:p>
    <w:p w14:paraId="41631E9A" w14:textId="77777777" w:rsidR="00D62251" w:rsidRPr="002B2E05" w:rsidRDefault="00D62251" w:rsidP="00D62251">
      <w:pPr>
        <w:jc w:val="both"/>
        <w:rPr>
          <w:rFonts w:asciiTheme="minorHAnsi" w:hAnsiTheme="minorHAnsi" w:cs="Tahoma"/>
          <w:b/>
          <w:caps/>
          <w:color w:val="000080"/>
        </w:rPr>
      </w:pPr>
    </w:p>
    <w:p w14:paraId="41631E9B" w14:textId="77777777" w:rsidR="00BC38C5" w:rsidRPr="002B2E05" w:rsidRDefault="00C7571E" w:rsidP="00BC38C5">
      <w:pPr>
        <w:rPr>
          <w:rFonts w:asciiTheme="minorHAnsi" w:hAnsiTheme="minorHAnsi" w:cs="Arial"/>
          <w:color w:val="0000FF"/>
        </w:rPr>
      </w:pPr>
      <w:r w:rsidRPr="002B2E05">
        <w:rPr>
          <w:rFonts w:asciiTheme="minorHAnsi" w:hAnsiTheme="minorHAnsi" w:cs="Arial"/>
          <w:noProof/>
          <w:color w:val="333399"/>
        </w:rPr>
        <w:drawing>
          <wp:inline distT="0" distB="0" distL="0" distR="0" wp14:anchorId="41631EDB" wp14:editId="41631EDC">
            <wp:extent cx="5752465" cy="914400"/>
            <wp:effectExtent l="19050" t="0" r="635" b="0"/>
            <wp:docPr id="2" name="Picture 2" descr="WoS 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S Boards"/>
                    <pic:cNvPicPr>
                      <a:picLocks noChangeAspect="1" noChangeArrowheads="1"/>
                    </pic:cNvPicPr>
                  </pic:nvPicPr>
                  <pic:blipFill>
                    <a:blip r:embed="rId22" cstate="print"/>
                    <a:srcRect/>
                    <a:stretch>
                      <a:fillRect/>
                    </a:stretch>
                  </pic:blipFill>
                  <pic:spPr bwMode="auto">
                    <a:xfrm>
                      <a:off x="0" y="0"/>
                      <a:ext cx="5752465" cy="914400"/>
                    </a:xfrm>
                    <a:prstGeom prst="rect">
                      <a:avLst/>
                    </a:prstGeom>
                    <a:noFill/>
                    <a:ln w="9525">
                      <a:noFill/>
                      <a:miter lim="800000"/>
                      <a:headEnd/>
                      <a:tailEnd/>
                    </a:ln>
                  </pic:spPr>
                </pic:pic>
              </a:graphicData>
            </a:graphic>
          </wp:inline>
        </w:drawing>
      </w:r>
    </w:p>
    <w:p w14:paraId="41631E9C" w14:textId="77777777" w:rsidR="00BC38C5" w:rsidRPr="002B2E05" w:rsidRDefault="00BC38C5" w:rsidP="00BC38C5">
      <w:pPr>
        <w:jc w:val="center"/>
        <w:rPr>
          <w:rFonts w:asciiTheme="minorHAnsi" w:hAnsiTheme="minorHAnsi" w:cs="Arial"/>
          <w:color w:val="0000FF"/>
        </w:rPr>
      </w:pPr>
    </w:p>
    <w:p w14:paraId="41631E9D" w14:textId="77777777" w:rsidR="00BC38C5" w:rsidRPr="002B2E05" w:rsidRDefault="00BC38C5" w:rsidP="00BC38C5">
      <w:pPr>
        <w:jc w:val="center"/>
        <w:rPr>
          <w:rFonts w:asciiTheme="minorHAnsi" w:hAnsiTheme="minorHAnsi" w:cs="Arial"/>
          <w:color w:val="0000FF"/>
        </w:rPr>
      </w:pPr>
      <w:r w:rsidRPr="002B2E05">
        <w:rPr>
          <w:rFonts w:asciiTheme="minorHAnsi" w:hAnsiTheme="minorHAnsi" w:cs="Arial"/>
          <w:color w:val="0000FF"/>
        </w:rPr>
        <w:t>Individual Patient Treatment Request (IPTR) Evidence Briefing</w:t>
      </w:r>
    </w:p>
    <w:p w14:paraId="41631E9E" w14:textId="77777777" w:rsidR="00BC38C5" w:rsidRPr="002B2E05" w:rsidRDefault="00BC38C5" w:rsidP="00BC38C5">
      <w:pPr>
        <w:jc w:val="both"/>
        <w:rPr>
          <w:rFonts w:asciiTheme="minorHAnsi" w:hAnsiTheme="minorHAnsi"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C38C5" w:rsidRPr="002B2E05" w14:paraId="41631EA0" w14:textId="77777777" w:rsidTr="002B2E05">
        <w:trPr>
          <w:trHeight w:val="20"/>
        </w:trPr>
        <w:tc>
          <w:tcPr>
            <w:tcW w:w="5000" w:type="pct"/>
          </w:tcPr>
          <w:p w14:paraId="41631E9F" w14:textId="77777777" w:rsidR="00BC38C5" w:rsidRPr="002B2E05" w:rsidRDefault="00BC38C5" w:rsidP="00EC7759">
            <w:pPr>
              <w:rPr>
                <w:rFonts w:asciiTheme="minorHAnsi" w:hAnsiTheme="minorHAnsi" w:cs="Arial"/>
                <w:b/>
              </w:rPr>
            </w:pPr>
            <w:r w:rsidRPr="002B2E05">
              <w:rPr>
                <w:rFonts w:asciiTheme="minorHAnsi" w:hAnsiTheme="minorHAnsi" w:cs="Arial"/>
                <w:b/>
              </w:rPr>
              <w:t>Name of Medicine</w:t>
            </w:r>
          </w:p>
        </w:tc>
      </w:tr>
      <w:tr w:rsidR="00BC38C5" w:rsidRPr="002B2E05" w14:paraId="41631EA2" w14:textId="77777777" w:rsidTr="002B2E05">
        <w:trPr>
          <w:trHeight w:val="20"/>
        </w:trPr>
        <w:tc>
          <w:tcPr>
            <w:tcW w:w="5000" w:type="pct"/>
          </w:tcPr>
          <w:p w14:paraId="41631EA1" w14:textId="77777777" w:rsidR="00BC38C5" w:rsidRPr="002B2E05" w:rsidRDefault="00BC38C5" w:rsidP="00BC38C5">
            <w:pPr>
              <w:rPr>
                <w:rFonts w:asciiTheme="minorHAnsi" w:hAnsiTheme="minorHAnsi" w:cs="Arial"/>
              </w:rPr>
            </w:pPr>
          </w:p>
        </w:tc>
      </w:tr>
      <w:tr w:rsidR="00BC38C5" w:rsidRPr="002B2E05" w14:paraId="41631EA4" w14:textId="77777777" w:rsidTr="002B2E05">
        <w:trPr>
          <w:trHeight w:val="20"/>
        </w:trPr>
        <w:tc>
          <w:tcPr>
            <w:tcW w:w="5000" w:type="pct"/>
          </w:tcPr>
          <w:p w14:paraId="41631EA3" w14:textId="77777777" w:rsidR="00BC38C5" w:rsidRPr="002B2E05" w:rsidRDefault="00BC38C5" w:rsidP="00EC7759">
            <w:pPr>
              <w:rPr>
                <w:rFonts w:asciiTheme="minorHAnsi" w:hAnsiTheme="minorHAnsi" w:cs="Arial"/>
                <w:b/>
                <w:vertAlign w:val="superscript"/>
              </w:rPr>
            </w:pPr>
            <w:r w:rsidRPr="002B2E05">
              <w:rPr>
                <w:rFonts w:asciiTheme="minorHAnsi" w:hAnsiTheme="minorHAnsi" w:cs="Arial"/>
                <w:b/>
              </w:rPr>
              <w:t>Licensed Indication</w:t>
            </w:r>
            <w:r w:rsidRPr="002B2E05">
              <w:rPr>
                <w:rFonts w:asciiTheme="minorHAnsi" w:hAnsiTheme="minorHAnsi" w:cs="Arial"/>
                <w:b/>
                <w:vertAlign w:val="superscript"/>
              </w:rPr>
              <w:t>1</w:t>
            </w:r>
          </w:p>
        </w:tc>
      </w:tr>
      <w:tr w:rsidR="00BC38C5" w:rsidRPr="002B2E05" w14:paraId="41631EA6" w14:textId="77777777" w:rsidTr="002B2E05">
        <w:trPr>
          <w:trHeight w:val="20"/>
        </w:trPr>
        <w:tc>
          <w:tcPr>
            <w:tcW w:w="5000" w:type="pct"/>
          </w:tcPr>
          <w:p w14:paraId="41631EA5" w14:textId="77777777" w:rsidR="00BC38C5" w:rsidRPr="002B2E05" w:rsidRDefault="00BC38C5" w:rsidP="00BC38C5">
            <w:pPr>
              <w:shd w:val="clear" w:color="auto" w:fill="FFFFFF"/>
              <w:rPr>
                <w:rFonts w:asciiTheme="minorHAnsi" w:hAnsiTheme="minorHAnsi" w:cs="Arial"/>
                <w:color w:val="000000"/>
              </w:rPr>
            </w:pPr>
          </w:p>
        </w:tc>
      </w:tr>
      <w:tr w:rsidR="00BC38C5" w:rsidRPr="002B2E05" w14:paraId="41631EA8" w14:textId="77777777" w:rsidTr="002B2E05">
        <w:trPr>
          <w:trHeight w:val="20"/>
        </w:trPr>
        <w:tc>
          <w:tcPr>
            <w:tcW w:w="5000" w:type="pct"/>
          </w:tcPr>
          <w:p w14:paraId="41631EA7" w14:textId="77777777" w:rsidR="00BC38C5" w:rsidRPr="002B2E05" w:rsidRDefault="00BC38C5" w:rsidP="00EC7759">
            <w:pPr>
              <w:rPr>
                <w:rFonts w:asciiTheme="minorHAnsi" w:hAnsiTheme="minorHAnsi" w:cs="Arial"/>
                <w:b/>
              </w:rPr>
            </w:pPr>
            <w:r w:rsidRPr="002B2E05">
              <w:rPr>
                <w:rFonts w:asciiTheme="minorHAnsi" w:hAnsiTheme="minorHAnsi" w:cs="Arial"/>
                <w:b/>
              </w:rPr>
              <w:t>Indication under review</w:t>
            </w:r>
          </w:p>
        </w:tc>
      </w:tr>
      <w:tr w:rsidR="00BC38C5" w:rsidRPr="002B2E05" w14:paraId="41631EAA" w14:textId="77777777" w:rsidTr="002B2E05">
        <w:trPr>
          <w:trHeight w:val="20"/>
        </w:trPr>
        <w:tc>
          <w:tcPr>
            <w:tcW w:w="5000" w:type="pct"/>
          </w:tcPr>
          <w:p w14:paraId="41631EA9" w14:textId="77777777" w:rsidR="00BC38C5" w:rsidRPr="002B2E05" w:rsidRDefault="00BC38C5" w:rsidP="00BC38C5">
            <w:pPr>
              <w:shd w:val="clear" w:color="auto" w:fill="FFFFFF"/>
              <w:ind w:left="360"/>
              <w:rPr>
                <w:rFonts w:asciiTheme="minorHAnsi" w:hAnsiTheme="minorHAnsi" w:cs="Arial"/>
              </w:rPr>
            </w:pPr>
          </w:p>
        </w:tc>
      </w:tr>
      <w:tr w:rsidR="00BC38C5" w:rsidRPr="002B2E05" w14:paraId="41631EAC" w14:textId="77777777" w:rsidTr="002B2E05">
        <w:trPr>
          <w:trHeight w:val="20"/>
        </w:trPr>
        <w:tc>
          <w:tcPr>
            <w:tcW w:w="5000" w:type="pct"/>
          </w:tcPr>
          <w:p w14:paraId="41631EAB" w14:textId="77777777" w:rsidR="00BC38C5" w:rsidRPr="002B2E05" w:rsidRDefault="00BC38C5" w:rsidP="00EC7759">
            <w:pPr>
              <w:rPr>
                <w:rFonts w:asciiTheme="minorHAnsi" w:hAnsiTheme="minorHAnsi" w:cs="Arial"/>
              </w:rPr>
            </w:pPr>
            <w:r w:rsidRPr="002B2E05">
              <w:rPr>
                <w:rFonts w:asciiTheme="minorHAnsi" w:hAnsiTheme="minorHAnsi" w:cs="Arial"/>
                <w:b/>
              </w:rPr>
              <w:t xml:space="preserve">SMC Status </w:t>
            </w:r>
            <w:hyperlink r:id="rId23" w:history="1">
              <w:r w:rsidRPr="002B2E05">
                <w:rPr>
                  <w:rStyle w:val="Hyperlink"/>
                  <w:rFonts w:asciiTheme="minorHAnsi" w:hAnsiTheme="minorHAnsi" w:cs="Arial"/>
                  <w:b/>
                </w:rPr>
                <w:t>http://www.scottishmedicines.org.uk/Home</w:t>
              </w:r>
            </w:hyperlink>
          </w:p>
        </w:tc>
      </w:tr>
      <w:tr w:rsidR="00BC38C5" w:rsidRPr="002B2E05" w14:paraId="41631EAE" w14:textId="77777777" w:rsidTr="002B2E05">
        <w:trPr>
          <w:trHeight w:val="20"/>
        </w:trPr>
        <w:tc>
          <w:tcPr>
            <w:tcW w:w="5000" w:type="pct"/>
          </w:tcPr>
          <w:p w14:paraId="41631EAD" w14:textId="77777777" w:rsidR="00BC38C5" w:rsidRPr="002B2E05" w:rsidRDefault="00BC38C5" w:rsidP="00BC38C5">
            <w:pPr>
              <w:shd w:val="clear" w:color="auto" w:fill="FFFFFF"/>
              <w:rPr>
                <w:rFonts w:asciiTheme="minorHAnsi" w:hAnsiTheme="minorHAnsi" w:cs="Arial"/>
              </w:rPr>
            </w:pPr>
          </w:p>
        </w:tc>
      </w:tr>
      <w:tr w:rsidR="00BC38C5" w:rsidRPr="002B2E05" w14:paraId="41631EB0" w14:textId="77777777" w:rsidTr="002B2E05">
        <w:trPr>
          <w:trHeight w:val="20"/>
        </w:trPr>
        <w:tc>
          <w:tcPr>
            <w:tcW w:w="5000" w:type="pct"/>
          </w:tcPr>
          <w:p w14:paraId="41631EAF" w14:textId="77777777" w:rsidR="00BC38C5" w:rsidRPr="002B2E05" w:rsidRDefault="00BC38C5" w:rsidP="00EC7759">
            <w:pPr>
              <w:rPr>
                <w:rFonts w:asciiTheme="minorHAnsi" w:hAnsiTheme="minorHAnsi" w:cs="Arial"/>
                <w:b/>
              </w:rPr>
            </w:pPr>
            <w:r w:rsidRPr="002B2E05">
              <w:rPr>
                <w:rFonts w:asciiTheme="minorHAnsi" w:hAnsiTheme="minorHAnsi" w:cs="Arial"/>
                <w:b/>
              </w:rPr>
              <w:t>Other relevant national Advice</w:t>
            </w:r>
          </w:p>
        </w:tc>
      </w:tr>
      <w:tr w:rsidR="00BC38C5" w:rsidRPr="002B2E05" w14:paraId="41631EB2" w14:textId="77777777" w:rsidTr="002B2E05">
        <w:trPr>
          <w:trHeight w:val="20"/>
        </w:trPr>
        <w:tc>
          <w:tcPr>
            <w:tcW w:w="5000" w:type="pct"/>
          </w:tcPr>
          <w:p w14:paraId="41631EB1" w14:textId="77777777" w:rsidR="00BC38C5" w:rsidRPr="002B2E05" w:rsidRDefault="00BC38C5" w:rsidP="00EC7759">
            <w:pPr>
              <w:rPr>
                <w:rFonts w:asciiTheme="minorHAnsi" w:hAnsiTheme="minorHAnsi" w:cs="Arial"/>
                <w:b/>
              </w:rPr>
            </w:pPr>
            <w:r w:rsidRPr="002B2E05">
              <w:rPr>
                <w:rFonts w:asciiTheme="minorHAnsi" w:hAnsiTheme="minorHAnsi" w:cs="Arial"/>
                <w:b/>
              </w:rPr>
              <w:t>National Institute for Health and Clinical excellence (</w:t>
            </w:r>
            <w:smartTag w:uri="urn:schemas-microsoft-com:office:smarttags" w:element="stockticker">
              <w:r w:rsidRPr="002B2E05">
                <w:rPr>
                  <w:rFonts w:asciiTheme="minorHAnsi" w:hAnsiTheme="minorHAnsi" w:cs="Arial"/>
                  <w:b/>
                </w:rPr>
                <w:t>NICE</w:t>
              </w:r>
            </w:smartTag>
            <w:r w:rsidRPr="002B2E05">
              <w:rPr>
                <w:rFonts w:asciiTheme="minorHAnsi" w:hAnsiTheme="minorHAnsi" w:cs="Arial"/>
                <w:b/>
              </w:rPr>
              <w:t>)</w:t>
            </w:r>
            <w:r w:rsidRPr="002B2E05">
              <w:rPr>
                <w:rFonts w:asciiTheme="minorHAnsi" w:hAnsiTheme="minorHAnsi" w:cs="Arial"/>
              </w:rPr>
              <w:t xml:space="preserve"> </w:t>
            </w:r>
            <w:hyperlink r:id="rId24" w:history="1">
              <w:r w:rsidRPr="002B2E05">
                <w:rPr>
                  <w:rStyle w:val="Hyperlink"/>
                  <w:rFonts w:asciiTheme="minorHAnsi" w:hAnsiTheme="minorHAnsi" w:cs="Arial"/>
                  <w:b/>
                </w:rPr>
                <w:t>http://www.nice.org.uk/Guidance/TA/Published</w:t>
              </w:r>
            </w:hyperlink>
          </w:p>
        </w:tc>
      </w:tr>
      <w:tr w:rsidR="00BC38C5" w:rsidRPr="002B2E05" w14:paraId="41631EB4" w14:textId="77777777" w:rsidTr="002B2E05">
        <w:trPr>
          <w:trHeight w:val="20"/>
        </w:trPr>
        <w:tc>
          <w:tcPr>
            <w:tcW w:w="5000" w:type="pct"/>
          </w:tcPr>
          <w:p w14:paraId="41631EB3" w14:textId="77777777" w:rsidR="00BC38C5" w:rsidRPr="002B2E05" w:rsidRDefault="00BC38C5" w:rsidP="00BC38C5">
            <w:pPr>
              <w:pStyle w:val="Heading1"/>
              <w:shd w:val="clear" w:color="auto" w:fill="FFFFFF"/>
              <w:spacing w:before="0" w:after="0"/>
              <w:rPr>
                <w:rFonts w:asciiTheme="minorHAnsi" w:hAnsiTheme="minorHAnsi"/>
                <w:b w:val="0"/>
                <w:sz w:val="24"/>
                <w:szCs w:val="24"/>
              </w:rPr>
            </w:pPr>
          </w:p>
        </w:tc>
      </w:tr>
      <w:tr w:rsidR="00BC38C5" w:rsidRPr="002B2E05" w14:paraId="41631EB6" w14:textId="77777777" w:rsidTr="002B2E05">
        <w:trPr>
          <w:trHeight w:val="20"/>
        </w:trPr>
        <w:tc>
          <w:tcPr>
            <w:tcW w:w="5000" w:type="pct"/>
          </w:tcPr>
          <w:p w14:paraId="41631EB5" w14:textId="77777777" w:rsidR="00BC38C5" w:rsidRPr="002B2E05" w:rsidRDefault="00BC38C5" w:rsidP="00EC7759">
            <w:pPr>
              <w:rPr>
                <w:rFonts w:asciiTheme="minorHAnsi" w:hAnsiTheme="minorHAnsi" w:cs="Arial"/>
                <w:b/>
              </w:rPr>
            </w:pPr>
            <w:r w:rsidRPr="002B2E05">
              <w:rPr>
                <w:rFonts w:asciiTheme="minorHAnsi" w:hAnsiTheme="minorHAnsi" w:cs="Arial"/>
                <w:b/>
              </w:rPr>
              <w:t xml:space="preserve">All Wales Medicines Strategy Group (AWMSG) </w:t>
            </w:r>
            <w:hyperlink r:id="rId25" w:history="1">
              <w:r w:rsidRPr="002B2E05">
                <w:rPr>
                  <w:rStyle w:val="Hyperlink"/>
                  <w:rFonts w:asciiTheme="minorHAnsi" w:hAnsiTheme="minorHAnsi" w:cs="Arial"/>
                  <w:b/>
                </w:rPr>
                <w:t>http://www.wales.nhs.uk/sites3/page.cfm?orgid=371&amp;pid=24773</w:t>
              </w:r>
            </w:hyperlink>
          </w:p>
        </w:tc>
      </w:tr>
      <w:tr w:rsidR="00BC38C5" w:rsidRPr="002B2E05" w14:paraId="41631EB8" w14:textId="77777777" w:rsidTr="002B2E05">
        <w:trPr>
          <w:trHeight w:val="20"/>
        </w:trPr>
        <w:tc>
          <w:tcPr>
            <w:tcW w:w="5000" w:type="pct"/>
          </w:tcPr>
          <w:p w14:paraId="41631EB7" w14:textId="77777777" w:rsidR="00BC38C5" w:rsidRPr="002B2E05" w:rsidRDefault="00BC38C5" w:rsidP="00BC38C5">
            <w:pPr>
              <w:rPr>
                <w:rFonts w:asciiTheme="minorHAnsi" w:hAnsiTheme="minorHAnsi" w:cs="Arial"/>
              </w:rPr>
            </w:pPr>
          </w:p>
        </w:tc>
      </w:tr>
      <w:tr w:rsidR="00BC38C5" w:rsidRPr="002B2E05" w14:paraId="41631EBA" w14:textId="77777777" w:rsidTr="002B2E05">
        <w:trPr>
          <w:trHeight w:val="20"/>
        </w:trPr>
        <w:tc>
          <w:tcPr>
            <w:tcW w:w="5000" w:type="pct"/>
          </w:tcPr>
          <w:p w14:paraId="41631EB9" w14:textId="77777777" w:rsidR="00BC38C5" w:rsidRPr="002B2E05" w:rsidRDefault="00BC38C5" w:rsidP="00EC7759">
            <w:pPr>
              <w:rPr>
                <w:rFonts w:asciiTheme="minorHAnsi" w:hAnsiTheme="minorHAnsi" w:cs="Arial"/>
                <w:b/>
              </w:rPr>
            </w:pPr>
            <w:r w:rsidRPr="002B2E05">
              <w:rPr>
                <w:rFonts w:asciiTheme="minorHAnsi" w:hAnsiTheme="minorHAnsi" w:cs="Arial"/>
                <w:b/>
              </w:rPr>
              <w:t xml:space="preserve">SIGN Guidelines </w:t>
            </w:r>
            <w:hyperlink r:id="rId26" w:history="1">
              <w:r w:rsidRPr="002B2E05">
                <w:rPr>
                  <w:rStyle w:val="Hyperlink"/>
                  <w:rFonts w:asciiTheme="minorHAnsi" w:hAnsiTheme="minorHAnsi" w:cs="Arial"/>
                  <w:b/>
                </w:rPr>
                <w:t>http://www.sign.ac.uk/</w:t>
              </w:r>
            </w:hyperlink>
          </w:p>
        </w:tc>
      </w:tr>
      <w:tr w:rsidR="00BC38C5" w:rsidRPr="002B2E05" w14:paraId="41631EBC" w14:textId="77777777" w:rsidTr="002B2E05">
        <w:trPr>
          <w:trHeight w:val="20"/>
        </w:trPr>
        <w:tc>
          <w:tcPr>
            <w:tcW w:w="5000" w:type="pct"/>
          </w:tcPr>
          <w:p w14:paraId="41631EBB" w14:textId="77777777" w:rsidR="00BC38C5" w:rsidRPr="002B2E05" w:rsidRDefault="00BC38C5" w:rsidP="00BC38C5">
            <w:pPr>
              <w:tabs>
                <w:tab w:val="left" w:pos="2255"/>
              </w:tabs>
              <w:rPr>
                <w:rFonts w:asciiTheme="minorHAnsi" w:hAnsiTheme="minorHAnsi" w:cs="Arial"/>
              </w:rPr>
            </w:pPr>
          </w:p>
        </w:tc>
      </w:tr>
      <w:tr w:rsidR="00BC38C5" w:rsidRPr="002B2E05" w14:paraId="41631EBE" w14:textId="77777777" w:rsidTr="002B2E05">
        <w:trPr>
          <w:trHeight w:val="20"/>
        </w:trPr>
        <w:tc>
          <w:tcPr>
            <w:tcW w:w="5000" w:type="pct"/>
          </w:tcPr>
          <w:p w14:paraId="41631EBD" w14:textId="77777777" w:rsidR="00BC38C5" w:rsidRPr="002B2E05" w:rsidRDefault="00BC38C5" w:rsidP="00EC7759">
            <w:pPr>
              <w:rPr>
                <w:rFonts w:asciiTheme="minorHAnsi" w:hAnsiTheme="minorHAnsi" w:cs="Arial"/>
                <w:b/>
              </w:rPr>
            </w:pPr>
            <w:r w:rsidRPr="002B2E05">
              <w:rPr>
                <w:rFonts w:asciiTheme="minorHAnsi" w:hAnsiTheme="minorHAnsi" w:cs="Arial"/>
                <w:b/>
              </w:rPr>
              <w:t>Other professional guidelines</w:t>
            </w:r>
          </w:p>
        </w:tc>
      </w:tr>
      <w:tr w:rsidR="00BC38C5" w:rsidRPr="002B2E05" w14:paraId="41631EC0" w14:textId="77777777" w:rsidTr="002B2E05">
        <w:trPr>
          <w:trHeight w:val="20"/>
        </w:trPr>
        <w:tc>
          <w:tcPr>
            <w:tcW w:w="5000" w:type="pct"/>
          </w:tcPr>
          <w:p w14:paraId="41631EBF" w14:textId="77777777" w:rsidR="00BC38C5" w:rsidRPr="002B2E05" w:rsidRDefault="00BC38C5" w:rsidP="00EC7759">
            <w:pPr>
              <w:jc w:val="both"/>
              <w:rPr>
                <w:rFonts w:asciiTheme="minorHAnsi" w:hAnsiTheme="minorHAnsi" w:cs="Arial"/>
              </w:rPr>
            </w:pPr>
          </w:p>
        </w:tc>
      </w:tr>
      <w:tr w:rsidR="00BC38C5" w:rsidRPr="002B2E05" w14:paraId="41631EC2" w14:textId="77777777" w:rsidTr="002B2E05">
        <w:trPr>
          <w:trHeight w:val="20"/>
        </w:trPr>
        <w:tc>
          <w:tcPr>
            <w:tcW w:w="5000" w:type="pct"/>
          </w:tcPr>
          <w:p w14:paraId="41631EC1" w14:textId="77777777" w:rsidR="00BC38C5" w:rsidRPr="002B2E05" w:rsidRDefault="00BC38C5" w:rsidP="00EC7759">
            <w:pPr>
              <w:rPr>
                <w:rFonts w:asciiTheme="minorHAnsi" w:hAnsiTheme="minorHAnsi" w:cs="Arial"/>
                <w:b/>
                <w:vertAlign w:val="superscript"/>
              </w:rPr>
            </w:pPr>
            <w:r w:rsidRPr="002B2E05">
              <w:rPr>
                <w:rFonts w:asciiTheme="minorHAnsi" w:hAnsiTheme="minorHAnsi" w:cs="Arial"/>
                <w:b/>
              </w:rPr>
              <w:t>Dose and Administration</w:t>
            </w:r>
          </w:p>
        </w:tc>
      </w:tr>
      <w:tr w:rsidR="00BC38C5" w:rsidRPr="002B2E05" w14:paraId="41631EC4" w14:textId="77777777" w:rsidTr="002B2E05">
        <w:trPr>
          <w:trHeight w:val="20"/>
        </w:trPr>
        <w:tc>
          <w:tcPr>
            <w:tcW w:w="5000" w:type="pct"/>
          </w:tcPr>
          <w:p w14:paraId="41631EC3" w14:textId="77777777" w:rsidR="00BC38C5" w:rsidRPr="002B2E05" w:rsidRDefault="00BC38C5" w:rsidP="00BC38C5">
            <w:pPr>
              <w:pStyle w:val="NormalWeb"/>
              <w:spacing w:before="0" w:beforeAutospacing="0" w:after="0"/>
              <w:rPr>
                <w:rFonts w:asciiTheme="minorHAnsi" w:hAnsiTheme="minorHAnsi" w:cs="Arial"/>
                <w:color w:val="auto"/>
              </w:rPr>
            </w:pPr>
          </w:p>
        </w:tc>
      </w:tr>
      <w:tr w:rsidR="00BC38C5" w:rsidRPr="002B2E05" w14:paraId="41631EC6" w14:textId="77777777" w:rsidTr="002B2E05">
        <w:trPr>
          <w:trHeight w:val="20"/>
        </w:trPr>
        <w:tc>
          <w:tcPr>
            <w:tcW w:w="5000" w:type="pct"/>
          </w:tcPr>
          <w:p w14:paraId="41631EC5" w14:textId="77777777" w:rsidR="00BC38C5" w:rsidRPr="002B2E05" w:rsidRDefault="00BC38C5" w:rsidP="00EC7759">
            <w:pPr>
              <w:rPr>
                <w:rFonts w:asciiTheme="minorHAnsi" w:hAnsiTheme="minorHAnsi" w:cs="Arial"/>
                <w:b/>
              </w:rPr>
            </w:pPr>
            <w:r w:rsidRPr="002B2E05">
              <w:rPr>
                <w:rFonts w:asciiTheme="minorHAnsi" w:hAnsiTheme="minorHAnsi" w:cs="Arial"/>
                <w:b/>
              </w:rPr>
              <w:t>Background</w:t>
            </w:r>
          </w:p>
        </w:tc>
      </w:tr>
      <w:tr w:rsidR="00BC38C5" w:rsidRPr="002B2E05" w14:paraId="41631EC8" w14:textId="77777777" w:rsidTr="002B2E05">
        <w:trPr>
          <w:trHeight w:val="20"/>
        </w:trPr>
        <w:tc>
          <w:tcPr>
            <w:tcW w:w="5000" w:type="pct"/>
          </w:tcPr>
          <w:p w14:paraId="41631EC7" w14:textId="77777777" w:rsidR="00BC38C5" w:rsidRPr="002B2E05" w:rsidRDefault="00BC38C5" w:rsidP="00BC38C5">
            <w:pPr>
              <w:rPr>
                <w:rFonts w:asciiTheme="minorHAnsi" w:hAnsiTheme="minorHAnsi" w:cs="Arial"/>
                <w:shd w:val="clear" w:color="auto" w:fill="FFFFFF"/>
              </w:rPr>
            </w:pPr>
          </w:p>
        </w:tc>
      </w:tr>
      <w:tr w:rsidR="00BC38C5" w:rsidRPr="002B2E05" w14:paraId="41631ECA" w14:textId="77777777" w:rsidTr="002B2E05">
        <w:trPr>
          <w:trHeight w:val="20"/>
        </w:trPr>
        <w:tc>
          <w:tcPr>
            <w:tcW w:w="5000" w:type="pct"/>
          </w:tcPr>
          <w:p w14:paraId="41631EC9" w14:textId="77777777" w:rsidR="00BC38C5" w:rsidRPr="002B2E05" w:rsidRDefault="00BC38C5" w:rsidP="00EC7759">
            <w:pPr>
              <w:rPr>
                <w:rFonts w:asciiTheme="minorHAnsi" w:hAnsiTheme="minorHAnsi" w:cs="Arial"/>
                <w:b/>
              </w:rPr>
            </w:pPr>
            <w:r w:rsidRPr="002B2E05">
              <w:rPr>
                <w:rFonts w:asciiTheme="minorHAnsi" w:hAnsiTheme="minorHAnsi" w:cs="Arial"/>
                <w:b/>
              </w:rPr>
              <w:t>Summary of evidence of comparative efficacy and adverse effects</w:t>
            </w:r>
          </w:p>
        </w:tc>
      </w:tr>
      <w:tr w:rsidR="00BC38C5" w:rsidRPr="002B2E05" w14:paraId="41631ECC" w14:textId="77777777" w:rsidTr="002B2E05">
        <w:trPr>
          <w:trHeight w:val="20"/>
        </w:trPr>
        <w:tc>
          <w:tcPr>
            <w:tcW w:w="5000" w:type="pct"/>
          </w:tcPr>
          <w:p w14:paraId="41631ECB" w14:textId="77777777" w:rsidR="00BC38C5" w:rsidRPr="002B2E05" w:rsidRDefault="00BC38C5" w:rsidP="00BC38C5">
            <w:pPr>
              <w:shd w:val="clear" w:color="auto" w:fill="FFFFFF"/>
              <w:rPr>
                <w:rFonts w:asciiTheme="minorHAnsi" w:hAnsiTheme="minorHAnsi" w:cs="Arial"/>
              </w:rPr>
            </w:pPr>
          </w:p>
        </w:tc>
      </w:tr>
      <w:tr w:rsidR="00BC38C5" w:rsidRPr="002B2E05" w14:paraId="41631ECE" w14:textId="77777777" w:rsidTr="002B2E05">
        <w:trPr>
          <w:trHeight w:val="20"/>
        </w:trPr>
        <w:tc>
          <w:tcPr>
            <w:tcW w:w="5000" w:type="pct"/>
          </w:tcPr>
          <w:p w14:paraId="41631ECD" w14:textId="77777777" w:rsidR="00BC38C5" w:rsidRPr="002B2E05" w:rsidRDefault="00BC38C5" w:rsidP="00EC7759">
            <w:pPr>
              <w:rPr>
                <w:rFonts w:asciiTheme="minorHAnsi" w:hAnsiTheme="minorHAnsi" w:cs="Arial"/>
                <w:b/>
              </w:rPr>
            </w:pPr>
            <w:r w:rsidRPr="002B2E05">
              <w:rPr>
                <w:rFonts w:asciiTheme="minorHAnsi" w:hAnsiTheme="minorHAnsi" w:cs="Arial"/>
                <w:b/>
              </w:rPr>
              <w:t>Clinical Effectiveness</w:t>
            </w:r>
          </w:p>
        </w:tc>
      </w:tr>
      <w:tr w:rsidR="00BC38C5" w:rsidRPr="002B2E05" w14:paraId="41631ED0" w14:textId="77777777" w:rsidTr="002B2E05">
        <w:trPr>
          <w:trHeight w:val="20"/>
        </w:trPr>
        <w:tc>
          <w:tcPr>
            <w:tcW w:w="5000" w:type="pct"/>
          </w:tcPr>
          <w:p w14:paraId="41631ECF" w14:textId="77777777" w:rsidR="00BC38C5" w:rsidRPr="002B2E05" w:rsidRDefault="00BC38C5" w:rsidP="00BC38C5">
            <w:pPr>
              <w:shd w:val="clear" w:color="auto" w:fill="FFFFFF"/>
              <w:rPr>
                <w:rFonts w:asciiTheme="minorHAnsi" w:hAnsiTheme="minorHAnsi" w:cs="Arial"/>
              </w:rPr>
            </w:pPr>
          </w:p>
        </w:tc>
      </w:tr>
      <w:tr w:rsidR="00BC38C5" w:rsidRPr="002B2E05" w14:paraId="41631ED2" w14:textId="77777777" w:rsidTr="002B2E05">
        <w:trPr>
          <w:trHeight w:val="20"/>
        </w:trPr>
        <w:tc>
          <w:tcPr>
            <w:tcW w:w="5000" w:type="pct"/>
          </w:tcPr>
          <w:p w14:paraId="41631ED1" w14:textId="77777777" w:rsidR="00BC38C5" w:rsidRPr="002B2E05" w:rsidRDefault="00BC38C5" w:rsidP="00EC7759">
            <w:pPr>
              <w:rPr>
                <w:rFonts w:asciiTheme="minorHAnsi" w:hAnsiTheme="minorHAnsi" w:cs="Arial"/>
                <w:b/>
              </w:rPr>
            </w:pPr>
            <w:r w:rsidRPr="002B2E05">
              <w:rPr>
                <w:rFonts w:asciiTheme="minorHAnsi" w:hAnsiTheme="minorHAnsi" w:cs="Arial"/>
                <w:b/>
              </w:rPr>
              <w:t>References</w:t>
            </w:r>
          </w:p>
        </w:tc>
      </w:tr>
      <w:tr w:rsidR="00BC38C5" w:rsidRPr="002B2E05" w14:paraId="41631ED4" w14:textId="77777777" w:rsidTr="002B2E05">
        <w:trPr>
          <w:trHeight w:val="20"/>
        </w:trPr>
        <w:tc>
          <w:tcPr>
            <w:tcW w:w="5000" w:type="pct"/>
          </w:tcPr>
          <w:p w14:paraId="41631ED3" w14:textId="77777777" w:rsidR="00BC38C5" w:rsidRPr="002B2E05" w:rsidRDefault="00BC38C5" w:rsidP="00BC38C5">
            <w:pPr>
              <w:rPr>
                <w:rFonts w:asciiTheme="minorHAnsi" w:hAnsiTheme="minorHAnsi" w:cs="Arial"/>
              </w:rPr>
            </w:pPr>
          </w:p>
        </w:tc>
      </w:tr>
      <w:tr w:rsidR="00BC38C5" w:rsidRPr="002B2E05" w14:paraId="41631ED6" w14:textId="77777777" w:rsidTr="002B2E05">
        <w:trPr>
          <w:trHeight w:val="20"/>
        </w:trPr>
        <w:tc>
          <w:tcPr>
            <w:tcW w:w="5000" w:type="pct"/>
          </w:tcPr>
          <w:p w14:paraId="41631ED5" w14:textId="77777777" w:rsidR="00BC38C5" w:rsidRPr="002B2E05" w:rsidRDefault="00BC38C5" w:rsidP="00EC7759">
            <w:pPr>
              <w:rPr>
                <w:rFonts w:asciiTheme="minorHAnsi" w:hAnsiTheme="minorHAnsi" w:cs="Arial"/>
                <w:b/>
              </w:rPr>
            </w:pPr>
            <w:r w:rsidRPr="002B2E05">
              <w:rPr>
                <w:rFonts w:asciiTheme="minorHAnsi" w:hAnsiTheme="minorHAnsi" w:cs="Arial"/>
                <w:b/>
              </w:rPr>
              <w:t>Author’s details</w:t>
            </w:r>
          </w:p>
        </w:tc>
      </w:tr>
      <w:tr w:rsidR="00BC38C5" w:rsidRPr="002B2E05" w14:paraId="41631ED9" w14:textId="77777777" w:rsidTr="002B2E05">
        <w:trPr>
          <w:trHeight w:val="20"/>
        </w:trPr>
        <w:tc>
          <w:tcPr>
            <w:tcW w:w="5000" w:type="pct"/>
          </w:tcPr>
          <w:p w14:paraId="41631ED7" w14:textId="77777777" w:rsidR="00BC38C5" w:rsidRPr="002B2E05" w:rsidRDefault="00BC38C5" w:rsidP="00EC7759">
            <w:pPr>
              <w:rPr>
                <w:rFonts w:asciiTheme="minorHAnsi" w:hAnsiTheme="minorHAnsi" w:cs="Arial"/>
              </w:rPr>
            </w:pPr>
            <w:r w:rsidRPr="002B2E05">
              <w:rPr>
                <w:rFonts w:asciiTheme="minorHAnsi" w:hAnsiTheme="minorHAnsi" w:cs="Arial"/>
              </w:rPr>
              <w:t xml:space="preserve">Written by:  </w:t>
            </w:r>
          </w:p>
          <w:p w14:paraId="41631ED8" w14:textId="77777777" w:rsidR="00BC38C5" w:rsidRPr="002B2E05" w:rsidRDefault="00BC38C5" w:rsidP="00EC7759">
            <w:pPr>
              <w:rPr>
                <w:rFonts w:asciiTheme="minorHAnsi" w:hAnsiTheme="minorHAnsi" w:cs="Arial"/>
              </w:rPr>
            </w:pPr>
            <w:r w:rsidRPr="002B2E05">
              <w:rPr>
                <w:rFonts w:asciiTheme="minorHAnsi" w:hAnsiTheme="minorHAnsi" w:cs="Arial"/>
              </w:rPr>
              <w:t xml:space="preserve">Reviewed by:  </w:t>
            </w:r>
          </w:p>
        </w:tc>
      </w:tr>
    </w:tbl>
    <w:p w14:paraId="41631EDA" w14:textId="77777777" w:rsidR="00D62251" w:rsidRPr="002B2E05" w:rsidRDefault="00D62251" w:rsidP="00EA36E1">
      <w:pPr>
        <w:rPr>
          <w:rFonts w:asciiTheme="minorHAnsi" w:hAnsiTheme="minorHAnsi"/>
        </w:rPr>
      </w:pPr>
    </w:p>
    <w:sectPr w:rsidR="00D62251" w:rsidRPr="002B2E05" w:rsidSect="001779C2">
      <w:headerReference w:type="default" r:id="rId27"/>
      <w:footerReference w:type="default" r:id="rId28"/>
      <w:type w:val="continuous"/>
      <w:pgSz w:w="11906" w:h="16838"/>
      <w:pgMar w:top="851"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B7EF" w14:textId="77777777" w:rsidR="003325B3" w:rsidRDefault="003325B3">
      <w:r>
        <w:separator/>
      </w:r>
    </w:p>
  </w:endnote>
  <w:endnote w:type="continuationSeparator" w:id="0">
    <w:p w14:paraId="3E37590D" w14:textId="77777777" w:rsidR="003325B3" w:rsidRDefault="0033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57" w:type="dxa"/>
        <w:left w:w="0" w:type="dxa"/>
        <w:bottom w:w="57" w:type="dxa"/>
        <w:right w:w="0" w:type="dxa"/>
      </w:tblCellMar>
      <w:tblLook w:val="01E0" w:firstRow="1" w:lastRow="1" w:firstColumn="1" w:lastColumn="1" w:noHBand="0" w:noVBand="0"/>
    </w:tblPr>
    <w:tblGrid>
      <w:gridCol w:w="7739"/>
      <w:gridCol w:w="2465"/>
    </w:tblGrid>
    <w:tr w:rsidR="002B2E05" w:rsidRPr="00DB62C1" w14:paraId="41631EE6" w14:textId="77777777" w:rsidTr="066D4B6B">
      <w:trPr>
        <w:jc w:val="center"/>
      </w:trPr>
      <w:tc>
        <w:tcPr>
          <w:tcW w:w="3792" w:type="pct"/>
          <w:tcBorders>
            <w:top w:val="nil"/>
            <w:left w:val="nil"/>
            <w:bottom w:val="nil"/>
            <w:right w:val="nil"/>
          </w:tcBorders>
          <w:vAlign w:val="center"/>
        </w:tcPr>
        <w:p w14:paraId="41631EE4" w14:textId="201CBEAF" w:rsidR="002B2E05" w:rsidRPr="00DB62C1" w:rsidRDefault="066D4B6B" w:rsidP="066D4B6B">
          <w:pPr>
            <w:pStyle w:val="Footer"/>
            <w:rPr>
              <w:rFonts w:asciiTheme="minorHAnsi" w:hAnsiTheme="minorHAnsi" w:cstheme="minorBidi"/>
              <w:sz w:val="16"/>
              <w:szCs w:val="16"/>
            </w:rPr>
          </w:pPr>
          <w:r w:rsidRPr="066D4B6B">
            <w:rPr>
              <w:rFonts w:asciiTheme="minorHAnsi" w:hAnsiTheme="minorHAnsi" w:cstheme="minorBidi"/>
              <w:sz w:val="16"/>
              <w:szCs w:val="16"/>
            </w:rPr>
            <w:t xml:space="preserve">File name: </w:t>
          </w:r>
          <w:r w:rsidR="002B2E05" w:rsidRPr="066D4B6B">
            <w:rPr>
              <w:rFonts w:asciiTheme="minorHAnsi" w:hAnsiTheme="minorHAnsi" w:cstheme="minorBidi"/>
              <w:noProof/>
              <w:sz w:val="16"/>
              <w:szCs w:val="16"/>
            </w:rPr>
            <w:fldChar w:fldCharType="begin"/>
          </w:r>
          <w:r w:rsidR="002B2E05" w:rsidRPr="066D4B6B">
            <w:rPr>
              <w:rFonts w:asciiTheme="minorHAnsi" w:hAnsiTheme="minorHAnsi" w:cstheme="minorBidi"/>
              <w:noProof/>
              <w:sz w:val="16"/>
              <w:szCs w:val="16"/>
            </w:rPr>
            <w:instrText xml:space="preserve"> FILENAME   \* MERGEFORMAT </w:instrText>
          </w:r>
          <w:r w:rsidR="002B2E05" w:rsidRPr="066D4B6B">
            <w:rPr>
              <w:rFonts w:asciiTheme="minorHAnsi" w:hAnsiTheme="minorHAnsi" w:cstheme="minorBidi"/>
              <w:noProof/>
              <w:sz w:val="16"/>
              <w:szCs w:val="16"/>
            </w:rPr>
            <w:fldChar w:fldCharType="separate"/>
          </w:r>
          <w:r w:rsidRPr="066D4B6B">
            <w:rPr>
              <w:rFonts w:asciiTheme="minorHAnsi" w:hAnsiTheme="minorHAnsi" w:cstheme="minorBidi"/>
              <w:noProof/>
              <w:sz w:val="16"/>
              <w:szCs w:val="16"/>
            </w:rPr>
            <w:t>5.4 Management of IPTRs - December 202</w:t>
          </w:r>
          <w:r w:rsidR="002B2E05" w:rsidRPr="066D4B6B">
            <w:rPr>
              <w:rFonts w:asciiTheme="minorHAnsi" w:hAnsiTheme="minorHAnsi" w:cstheme="minorBidi"/>
              <w:noProof/>
              <w:sz w:val="16"/>
              <w:szCs w:val="16"/>
            </w:rPr>
            <w:fldChar w:fldCharType="end"/>
          </w:r>
          <w:r w:rsidRPr="066D4B6B">
            <w:rPr>
              <w:rFonts w:asciiTheme="minorHAnsi" w:hAnsiTheme="minorHAnsi" w:cstheme="minorBidi"/>
              <w:noProof/>
              <w:sz w:val="16"/>
              <w:szCs w:val="16"/>
            </w:rPr>
            <w:t>5</w:t>
          </w:r>
        </w:p>
      </w:tc>
      <w:tc>
        <w:tcPr>
          <w:tcW w:w="1208" w:type="pct"/>
          <w:tcBorders>
            <w:top w:val="nil"/>
            <w:left w:val="nil"/>
            <w:bottom w:val="nil"/>
            <w:right w:val="nil"/>
          </w:tcBorders>
          <w:vAlign w:val="center"/>
        </w:tcPr>
        <w:p w14:paraId="41631EE5" w14:textId="0908C25A" w:rsidR="002B2E05" w:rsidRPr="00DB62C1" w:rsidRDefault="066D4B6B" w:rsidP="066D4B6B">
          <w:pPr>
            <w:pStyle w:val="Footer"/>
            <w:rPr>
              <w:rFonts w:asciiTheme="minorHAnsi" w:hAnsiTheme="minorHAnsi" w:cstheme="minorBidi"/>
              <w:noProof/>
              <w:sz w:val="16"/>
              <w:szCs w:val="16"/>
            </w:rPr>
          </w:pPr>
          <w:r w:rsidRPr="066D4B6B">
            <w:rPr>
              <w:rFonts w:asciiTheme="minorHAnsi" w:hAnsiTheme="minorHAnsi" w:cstheme="minorBidi"/>
              <w:sz w:val="16"/>
              <w:szCs w:val="16"/>
            </w:rPr>
            <w:t xml:space="preserve">Date of last revision: </w:t>
          </w:r>
          <w:r w:rsidR="004F2FB5">
            <w:rPr>
              <w:rFonts w:asciiTheme="minorHAnsi" w:hAnsiTheme="minorHAnsi" w:cstheme="minorBidi"/>
              <w:sz w:val="16"/>
              <w:szCs w:val="16"/>
            </w:rPr>
            <w:t>08/12/25</w:t>
          </w:r>
        </w:p>
      </w:tc>
    </w:tr>
    <w:tr w:rsidR="002B2E05" w:rsidRPr="00DB62C1" w14:paraId="41631EE9" w14:textId="77777777" w:rsidTr="066D4B6B">
      <w:trPr>
        <w:jc w:val="center"/>
      </w:trPr>
      <w:tc>
        <w:tcPr>
          <w:tcW w:w="3792" w:type="pct"/>
          <w:tcBorders>
            <w:top w:val="nil"/>
            <w:left w:val="nil"/>
            <w:bottom w:val="nil"/>
            <w:right w:val="nil"/>
          </w:tcBorders>
          <w:vAlign w:val="center"/>
        </w:tcPr>
        <w:p w14:paraId="41631EE7" w14:textId="46A3B122" w:rsidR="002B2E05" w:rsidRPr="00DB62C1" w:rsidRDefault="066D4B6B" w:rsidP="066D4B6B">
          <w:pPr>
            <w:pStyle w:val="Footer"/>
            <w:rPr>
              <w:rFonts w:asciiTheme="minorHAnsi" w:hAnsiTheme="minorHAnsi" w:cstheme="minorBidi"/>
              <w:sz w:val="16"/>
              <w:szCs w:val="16"/>
            </w:rPr>
          </w:pPr>
          <w:proofErr w:type="gramStart"/>
          <w:r w:rsidRPr="066D4B6B">
            <w:rPr>
              <w:rFonts w:asciiTheme="minorHAnsi" w:hAnsiTheme="minorHAnsi" w:cstheme="minorBidi"/>
              <w:sz w:val="16"/>
              <w:szCs w:val="16"/>
            </w:rPr>
            <w:t>Written  by</w:t>
          </w:r>
          <w:proofErr w:type="gramEnd"/>
          <w:r w:rsidRPr="066D4B6B">
            <w:rPr>
              <w:rFonts w:asciiTheme="minorHAnsi" w:hAnsiTheme="minorHAnsi" w:cstheme="minorBidi"/>
              <w:sz w:val="16"/>
              <w:szCs w:val="16"/>
            </w:rPr>
            <w:t xml:space="preserve">:  Medicines Policy and Guidance Team </w:t>
          </w:r>
        </w:p>
      </w:tc>
      <w:tc>
        <w:tcPr>
          <w:tcW w:w="1208" w:type="pct"/>
          <w:tcBorders>
            <w:top w:val="nil"/>
            <w:left w:val="nil"/>
            <w:bottom w:val="nil"/>
            <w:right w:val="nil"/>
          </w:tcBorders>
          <w:vAlign w:val="center"/>
        </w:tcPr>
        <w:p w14:paraId="41631EE8" w14:textId="1BCE0CF7" w:rsidR="002B2E05" w:rsidRPr="00DB62C1" w:rsidRDefault="066D4B6B" w:rsidP="066D4B6B">
          <w:pPr>
            <w:pStyle w:val="Footer"/>
            <w:rPr>
              <w:rFonts w:asciiTheme="minorHAnsi" w:hAnsiTheme="minorHAnsi" w:cstheme="minorBidi"/>
              <w:sz w:val="16"/>
              <w:szCs w:val="16"/>
            </w:rPr>
          </w:pPr>
          <w:r w:rsidRPr="066D4B6B">
            <w:rPr>
              <w:rFonts w:asciiTheme="minorHAnsi" w:hAnsiTheme="minorHAnsi" w:cstheme="minorBidi"/>
              <w:sz w:val="16"/>
              <w:szCs w:val="16"/>
            </w:rPr>
            <w:t>Date Approved: 08/12/2025</w:t>
          </w:r>
        </w:p>
      </w:tc>
    </w:tr>
    <w:tr w:rsidR="002B2E05" w:rsidRPr="00DB62C1" w14:paraId="41631EEC" w14:textId="77777777" w:rsidTr="066D4B6B">
      <w:trPr>
        <w:jc w:val="center"/>
      </w:trPr>
      <w:tc>
        <w:tcPr>
          <w:tcW w:w="3792" w:type="pct"/>
          <w:tcBorders>
            <w:top w:val="nil"/>
            <w:left w:val="nil"/>
            <w:bottom w:val="nil"/>
            <w:right w:val="nil"/>
          </w:tcBorders>
          <w:vAlign w:val="center"/>
        </w:tcPr>
        <w:p w14:paraId="41631EEA" w14:textId="77777777" w:rsidR="002B2E05" w:rsidRPr="00DB62C1" w:rsidRDefault="002B2E05">
          <w:pPr>
            <w:pStyle w:val="Footer"/>
            <w:rPr>
              <w:rFonts w:asciiTheme="minorHAnsi" w:hAnsiTheme="minorHAnsi" w:cstheme="minorHAnsi"/>
              <w:sz w:val="16"/>
              <w:szCs w:val="16"/>
            </w:rPr>
          </w:pPr>
          <w:r w:rsidRPr="00DB62C1">
            <w:rPr>
              <w:rFonts w:asciiTheme="minorHAnsi" w:hAnsiTheme="minorHAnsi" w:cstheme="minorHAnsi"/>
              <w:sz w:val="16"/>
              <w:szCs w:val="16"/>
            </w:rPr>
            <w:t>Approved by:</w:t>
          </w:r>
          <w:r w:rsidR="004050A0">
            <w:rPr>
              <w:rFonts w:asciiTheme="minorHAnsi" w:hAnsiTheme="minorHAnsi" w:cstheme="minorHAnsi"/>
              <w:sz w:val="16"/>
              <w:szCs w:val="16"/>
            </w:rPr>
            <w:t xml:space="preserve"> Area Drug and Therapeutics Committee</w:t>
          </w:r>
        </w:p>
      </w:tc>
      <w:tc>
        <w:tcPr>
          <w:tcW w:w="1208" w:type="pct"/>
          <w:tcBorders>
            <w:top w:val="nil"/>
            <w:left w:val="nil"/>
            <w:bottom w:val="nil"/>
            <w:right w:val="nil"/>
          </w:tcBorders>
          <w:vAlign w:val="center"/>
        </w:tcPr>
        <w:p w14:paraId="41631EEB" w14:textId="02044DD2" w:rsidR="002B2E05" w:rsidRPr="00DB62C1" w:rsidRDefault="066D4B6B" w:rsidP="066D4B6B">
          <w:pPr>
            <w:pStyle w:val="Footer"/>
            <w:rPr>
              <w:rFonts w:asciiTheme="minorHAnsi" w:hAnsiTheme="minorHAnsi" w:cstheme="minorBidi"/>
              <w:sz w:val="16"/>
              <w:szCs w:val="16"/>
            </w:rPr>
          </w:pPr>
          <w:r w:rsidRPr="066D4B6B">
            <w:rPr>
              <w:rFonts w:asciiTheme="minorHAnsi" w:hAnsiTheme="minorHAnsi" w:cstheme="minorBidi"/>
              <w:sz w:val="16"/>
              <w:szCs w:val="16"/>
            </w:rPr>
            <w:t>Date for Review: 08/12/2028</w:t>
          </w:r>
        </w:p>
      </w:tc>
    </w:tr>
    <w:tr w:rsidR="002B2E05" w:rsidRPr="00DB62C1" w14:paraId="41631EEE" w14:textId="77777777" w:rsidTr="066D4B6B">
      <w:trPr>
        <w:jc w:val="center"/>
      </w:trPr>
      <w:tc>
        <w:tcPr>
          <w:tcW w:w="5000" w:type="pct"/>
          <w:gridSpan w:val="2"/>
          <w:tcBorders>
            <w:top w:val="nil"/>
            <w:left w:val="nil"/>
            <w:bottom w:val="nil"/>
            <w:right w:val="nil"/>
          </w:tcBorders>
          <w:vAlign w:val="center"/>
        </w:tcPr>
        <w:p w14:paraId="41631EED" w14:textId="77777777" w:rsidR="002B2E05" w:rsidRPr="006F7874" w:rsidRDefault="002B2E05">
          <w:pPr>
            <w:pStyle w:val="Footer"/>
            <w:jc w:val="center"/>
            <w:rPr>
              <w:rFonts w:asciiTheme="minorHAnsi" w:hAnsiTheme="minorHAnsi" w:cstheme="minorHAnsi"/>
              <w:b/>
              <w:sz w:val="16"/>
              <w:szCs w:val="16"/>
            </w:rPr>
          </w:pPr>
          <w:r w:rsidRPr="006F7874">
            <w:rPr>
              <w:rFonts w:asciiTheme="minorHAnsi" w:hAnsiTheme="minorHAnsi" w:cstheme="minorHAnsi"/>
              <w:b/>
              <w:sz w:val="16"/>
              <w:szCs w:val="16"/>
            </w:rPr>
            <w:t xml:space="preserve">Page: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PAGE </w:instrText>
          </w:r>
          <w:r w:rsidRPr="006F7874">
            <w:rPr>
              <w:rStyle w:val="PageNumber"/>
              <w:rFonts w:asciiTheme="minorHAnsi" w:hAnsiTheme="minorHAnsi" w:cstheme="minorHAnsi"/>
              <w:b/>
              <w:sz w:val="16"/>
              <w:szCs w:val="16"/>
            </w:rPr>
            <w:fldChar w:fldCharType="separate"/>
          </w:r>
          <w:r w:rsidR="007B28D2">
            <w:rPr>
              <w:rStyle w:val="PageNumber"/>
              <w:rFonts w:asciiTheme="minorHAnsi" w:hAnsiTheme="minorHAnsi" w:cstheme="minorHAnsi"/>
              <w:b/>
              <w:noProof/>
              <w:sz w:val="16"/>
              <w:szCs w:val="16"/>
            </w:rPr>
            <w:t>1</w:t>
          </w:r>
          <w:r w:rsidRPr="006F7874">
            <w:rPr>
              <w:rStyle w:val="PageNumber"/>
              <w:rFonts w:asciiTheme="minorHAnsi" w:hAnsiTheme="minorHAnsi" w:cstheme="minorHAnsi"/>
              <w:b/>
              <w:sz w:val="16"/>
              <w:szCs w:val="16"/>
            </w:rPr>
            <w:fldChar w:fldCharType="end"/>
          </w:r>
          <w:r w:rsidRPr="006F7874">
            <w:rPr>
              <w:rStyle w:val="PageNumber"/>
              <w:rFonts w:asciiTheme="minorHAnsi" w:hAnsiTheme="minorHAnsi" w:cstheme="minorHAnsi"/>
              <w:b/>
              <w:sz w:val="16"/>
              <w:szCs w:val="16"/>
            </w:rPr>
            <w:t xml:space="preserve"> of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NUMPAGES </w:instrText>
          </w:r>
          <w:r w:rsidRPr="006F7874">
            <w:rPr>
              <w:rStyle w:val="PageNumber"/>
              <w:rFonts w:asciiTheme="minorHAnsi" w:hAnsiTheme="minorHAnsi" w:cstheme="minorHAnsi"/>
              <w:b/>
              <w:sz w:val="16"/>
              <w:szCs w:val="16"/>
            </w:rPr>
            <w:fldChar w:fldCharType="separate"/>
          </w:r>
          <w:r w:rsidR="007B28D2">
            <w:rPr>
              <w:rStyle w:val="PageNumber"/>
              <w:rFonts w:asciiTheme="minorHAnsi" w:hAnsiTheme="minorHAnsi" w:cstheme="minorHAnsi"/>
              <w:b/>
              <w:noProof/>
              <w:sz w:val="16"/>
              <w:szCs w:val="16"/>
            </w:rPr>
            <w:t>8</w:t>
          </w:r>
          <w:r w:rsidRPr="006F7874">
            <w:rPr>
              <w:rStyle w:val="PageNumber"/>
              <w:rFonts w:asciiTheme="minorHAnsi" w:hAnsiTheme="minorHAnsi" w:cstheme="minorHAnsi"/>
              <w:b/>
              <w:sz w:val="16"/>
              <w:szCs w:val="16"/>
            </w:rPr>
            <w:fldChar w:fldCharType="end"/>
          </w:r>
        </w:p>
      </w:tc>
    </w:tr>
  </w:tbl>
  <w:p w14:paraId="41631EEF" w14:textId="77777777" w:rsidR="003823A7" w:rsidRPr="002B2E05" w:rsidRDefault="003823A7" w:rsidP="002B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B371" w14:textId="77777777" w:rsidR="003325B3" w:rsidRDefault="003325B3">
      <w:r>
        <w:separator/>
      </w:r>
    </w:p>
  </w:footnote>
  <w:footnote w:type="continuationSeparator" w:id="0">
    <w:p w14:paraId="1A2CBA4F" w14:textId="77777777" w:rsidR="003325B3" w:rsidRDefault="0033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1EE1" w14:textId="77777777" w:rsidR="002B2E05" w:rsidRPr="002B2E05" w:rsidRDefault="002B2E05" w:rsidP="002B2E05">
    <w:pPr>
      <w:pStyle w:val="BodyText"/>
      <w:jc w:val="left"/>
      <w:rPr>
        <w:rFonts w:ascii="Arial" w:hAnsi="Arial" w:cs="Arial"/>
        <w:b w:val="0"/>
        <w:sz w:val="22"/>
        <w:szCs w:val="22"/>
      </w:rPr>
    </w:pPr>
    <w:r w:rsidRPr="002B2E05">
      <w:rPr>
        <w:rFonts w:ascii="Arial" w:hAnsi="Arial" w:cs="Arial"/>
        <w:b w:val="0"/>
        <w:noProof/>
        <w:sz w:val="22"/>
        <w:szCs w:val="22"/>
        <w:lang w:eastAsia="en-GB"/>
      </w:rPr>
      <w:drawing>
        <wp:anchor distT="0" distB="0" distL="114300" distR="114300" simplePos="0" relativeHeight="251658240" behindDoc="0" locked="0" layoutInCell="1" allowOverlap="1" wp14:anchorId="41631EF0" wp14:editId="41631EF1">
          <wp:simplePos x="0" y="0"/>
          <wp:positionH relativeFrom="margin">
            <wp:posOffset>5981065</wp:posOffset>
          </wp:positionH>
          <wp:positionV relativeFrom="margin">
            <wp:posOffset>-626745</wp:posOffset>
          </wp:positionV>
          <wp:extent cx="608965" cy="427355"/>
          <wp:effectExtent l="19050" t="0" r="635" b="0"/>
          <wp:wrapSquare wrapText="bothSides"/>
          <wp:docPr id="3" name="Picture 0" descr="NHSGGC -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GC - logo - black.jpg"/>
                  <pic:cNvPicPr/>
                </pic:nvPicPr>
                <pic:blipFill>
                  <a:blip r:embed="rId1"/>
                  <a:stretch>
                    <a:fillRect/>
                  </a:stretch>
                </pic:blipFill>
                <pic:spPr>
                  <a:xfrm>
                    <a:off x="0" y="0"/>
                    <a:ext cx="608965" cy="427355"/>
                  </a:xfrm>
                  <a:prstGeom prst="rect">
                    <a:avLst/>
                  </a:prstGeom>
                </pic:spPr>
              </pic:pic>
            </a:graphicData>
          </a:graphic>
        </wp:anchor>
      </w:drawing>
    </w:r>
    <w:r w:rsidR="3E5F1D72" w:rsidRPr="002B2E05">
      <w:rPr>
        <w:rFonts w:ascii="Arial" w:hAnsi="Arial" w:cs="Arial"/>
        <w:b w:val="0"/>
        <w:noProof/>
        <w:sz w:val="22"/>
        <w:szCs w:val="22"/>
        <w:lang w:eastAsia="en-GB"/>
      </w:rPr>
      <w:t>NHS Greater Glasgow and Clyde</w:t>
    </w:r>
  </w:p>
  <w:p w14:paraId="41631EE2" w14:textId="77777777" w:rsidR="002B2E05" w:rsidRPr="002B2E05" w:rsidRDefault="002B2E05" w:rsidP="002B2E05">
    <w:pPr>
      <w:pStyle w:val="BodyText"/>
      <w:jc w:val="left"/>
      <w:rPr>
        <w:rFonts w:ascii="Arial" w:hAnsi="Arial" w:cs="Arial"/>
        <w:b w:val="0"/>
        <w:sz w:val="22"/>
        <w:szCs w:val="22"/>
      </w:rPr>
    </w:pPr>
    <w:r>
      <w:rPr>
        <w:rFonts w:ascii="Arial" w:hAnsi="Arial" w:cs="Arial"/>
        <w:sz w:val="22"/>
        <w:szCs w:val="22"/>
      </w:rPr>
      <w:t>5.4 Individual Patient Treatment Request (IPTR) Policy</w:t>
    </w:r>
  </w:p>
  <w:p w14:paraId="41631EE3" w14:textId="77777777" w:rsidR="003823A7" w:rsidRDefault="00382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1.25pt;height:41.25pt" o:bullet="t">
        <v:imagedata r:id="rId1" o:title="Specialist Use Symbol"/>
      </v:shape>
    </w:pict>
  </w:numPicBullet>
  <w:abstractNum w:abstractNumId="0" w15:restartNumberingAfterBreak="0">
    <w:nsid w:val="07B55CCE"/>
    <w:multiLevelType w:val="hybridMultilevel"/>
    <w:tmpl w:val="358A3E06"/>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84366"/>
    <w:multiLevelType w:val="hybridMultilevel"/>
    <w:tmpl w:val="B87606B0"/>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84CF0"/>
    <w:multiLevelType w:val="hybridMultilevel"/>
    <w:tmpl w:val="A4BC3488"/>
    <w:lvl w:ilvl="0" w:tplc="986A9CB6">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8564C"/>
    <w:multiLevelType w:val="hybridMultilevel"/>
    <w:tmpl w:val="F0C8E5F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F0342"/>
    <w:multiLevelType w:val="hybridMultilevel"/>
    <w:tmpl w:val="52A4D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66BF7"/>
    <w:multiLevelType w:val="multilevel"/>
    <w:tmpl w:val="AFA8516A"/>
    <w:lvl w:ilvl="0">
      <w:start w:val="1"/>
      <w:numFmt w:val="decimal"/>
      <w:lvlText w:val="%1."/>
      <w:lvlJc w:val="left"/>
      <w:pPr>
        <w:tabs>
          <w:tab w:val="num" w:pos="360"/>
        </w:tabs>
        <w:ind w:left="360" w:hanging="360"/>
      </w:pPr>
      <w:rPr>
        <w:b/>
        <w:color w:val="000080"/>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7CD2375"/>
    <w:multiLevelType w:val="hybridMultilevel"/>
    <w:tmpl w:val="D9040F86"/>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7392A"/>
    <w:multiLevelType w:val="hybridMultilevel"/>
    <w:tmpl w:val="A348B470"/>
    <w:lvl w:ilvl="0" w:tplc="9ED60ED2">
      <w:start w:val="1"/>
      <w:numFmt w:val="lowerLetter"/>
      <w:lvlText w:val="%1."/>
      <w:lvlJc w:val="left"/>
      <w:pPr>
        <w:tabs>
          <w:tab w:val="num" w:pos="720"/>
        </w:tabs>
        <w:ind w:left="720" w:hanging="360"/>
      </w:pPr>
      <w:rPr>
        <w:rFonts w:hint="default"/>
        <w:b/>
        <w:color w:val="00008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65B758E"/>
    <w:multiLevelType w:val="hybridMultilevel"/>
    <w:tmpl w:val="2A8CC8F6"/>
    <w:lvl w:ilvl="0" w:tplc="2B2A6116">
      <w:start w:val="1"/>
      <w:numFmt w:val="upperLetter"/>
      <w:lvlText w:val="%1)"/>
      <w:lvlJc w:val="left"/>
      <w:pPr>
        <w:ind w:left="1020" w:hanging="360"/>
      </w:pPr>
    </w:lvl>
    <w:lvl w:ilvl="1" w:tplc="F6D62B26">
      <w:start w:val="1"/>
      <w:numFmt w:val="upperLetter"/>
      <w:lvlText w:val="%2)"/>
      <w:lvlJc w:val="left"/>
      <w:pPr>
        <w:ind w:left="1020" w:hanging="360"/>
      </w:pPr>
    </w:lvl>
    <w:lvl w:ilvl="2" w:tplc="AE382294">
      <w:start w:val="1"/>
      <w:numFmt w:val="upperLetter"/>
      <w:lvlText w:val="%3)"/>
      <w:lvlJc w:val="left"/>
      <w:pPr>
        <w:ind w:left="1020" w:hanging="360"/>
      </w:pPr>
    </w:lvl>
    <w:lvl w:ilvl="3" w:tplc="0EF06B96">
      <w:start w:val="1"/>
      <w:numFmt w:val="upperLetter"/>
      <w:lvlText w:val="%4)"/>
      <w:lvlJc w:val="left"/>
      <w:pPr>
        <w:ind w:left="1020" w:hanging="360"/>
      </w:pPr>
    </w:lvl>
    <w:lvl w:ilvl="4" w:tplc="F38AA292">
      <w:start w:val="1"/>
      <w:numFmt w:val="upperLetter"/>
      <w:lvlText w:val="%5)"/>
      <w:lvlJc w:val="left"/>
      <w:pPr>
        <w:ind w:left="1020" w:hanging="360"/>
      </w:pPr>
    </w:lvl>
    <w:lvl w:ilvl="5" w:tplc="52969E7C">
      <w:start w:val="1"/>
      <w:numFmt w:val="upperLetter"/>
      <w:lvlText w:val="%6)"/>
      <w:lvlJc w:val="left"/>
      <w:pPr>
        <w:ind w:left="1020" w:hanging="360"/>
      </w:pPr>
    </w:lvl>
    <w:lvl w:ilvl="6" w:tplc="7B3E70B8">
      <w:start w:val="1"/>
      <w:numFmt w:val="upperLetter"/>
      <w:lvlText w:val="%7)"/>
      <w:lvlJc w:val="left"/>
      <w:pPr>
        <w:ind w:left="1020" w:hanging="360"/>
      </w:pPr>
    </w:lvl>
    <w:lvl w:ilvl="7" w:tplc="CA2CB002">
      <w:start w:val="1"/>
      <w:numFmt w:val="upperLetter"/>
      <w:lvlText w:val="%8)"/>
      <w:lvlJc w:val="left"/>
      <w:pPr>
        <w:ind w:left="1020" w:hanging="360"/>
      </w:pPr>
    </w:lvl>
    <w:lvl w:ilvl="8" w:tplc="EAA41FB4">
      <w:start w:val="1"/>
      <w:numFmt w:val="upperLetter"/>
      <w:lvlText w:val="%9)"/>
      <w:lvlJc w:val="left"/>
      <w:pPr>
        <w:ind w:left="1020" w:hanging="360"/>
      </w:pPr>
    </w:lvl>
  </w:abstractNum>
  <w:abstractNum w:abstractNumId="9" w15:restartNumberingAfterBreak="0">
    <w:nsid w:val="365E650D"/>
    <w:multiLevelType w:val="hybridMultilevel"/>
    <w:tmpl w:val="9996BA5C"/>
    <w:lvl w:ilvl="0" w:tplc="08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8D0E72"/>
    <w:multiLevelType w:val="hybridMultilevel"/>
    <w:tmpl w:val="CDFA9200"/>
    <w:lvl w:ilvl="0" w:tplc="986A9CB6">
      <w:start w:val="1"/>
      <w:numFmt w:val="bullet"/>
      <w:lvlText w:val=""/>
      <w:lvlJc w:val="left"/>
      <w:pPr>
        <w:tabs>
          <w:tab w:val="num" w:pos="360"/>
        </w:tabs>
        <w:ind w:left="36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7091A"/>
    <w:multiLevelType w:val="hybridMultilevel"/>
    <w:tmpl w:val="96CE07EC"/>
    <w:lvl w:ilvl="0" w:tplc="B79EA85E">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601F6"/>
    <w:multiLevelType w:val="hybridMultilevel"/>
    <w:tmpl w:val="E698D772"/>
    <w:lvl w:ilvl="0" w:tplc="986A9CB6">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C07DB3"/>
    <w:multiLevelType w:val="hybridMultilevel"/>
    <w:tmpl w:val="041CE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87227"/>
    <w:multiLevelType w:val="hybridMultilevel"/>
    <w:tmpl w:val="3D02C7E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E2264"/>
    <w:multiLevelType w:val="hybridMultilevel"/>
    <w:tmpl w:val="A7F038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E536FA"/>
    <w:multiLevelType w:val="hybridMultilevel"/>
    <w:tmpl w:val="BE346F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8E36A8"/>
    <w:multiLevelType w:val="hybridMultilevel"/>
    <w:tmpl w:val="0F1E53D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64B5BE4"/>
    <w:multiLevelType w:val="hybridMultilevel"/>
    <w:tmpl w:val="0D6A0C7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540459"/>
    <w:multiLevelType w:val="hybridMultilevel"/>
    <w:tmpl w:val="114AB374"/>
    <w:lvl w:ilvl="0" w:tplc="986A9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87E49"/>
    <w:multiLevelType w:val="hybridMultilevel"/>
    <w:tmpl w:val="2ADECF88"/>
    <w:lvl w:ilvl="0" w:tplc="986A9CB6">
      <w:start w:val="1"/>
      <w:numFmt w:val="bullet"/>
      <w:lvlText w:val=""/>
      <w:lvlJc w:val="left"/>
      <w:pPr>
        <w:tabs>
          <w:tab w:val="num" w:pos="421"/>
        </w:tabs>
        <w:ind w:left="421" w:hanging="360"/>
      </w:pPr>
      <w:rPr>
        <w:rFonts w:ascii="Wingdings" w:hAnsi="Wingdings"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21" w15:restartNumberingAfterBreak="0">
    <w:nsid w:val="7AC40CC1"/>
    <w:multiLevelType w:val="hybridMultilevel"/>
    <w:tmpl w:val="FFFFFFFF"/>
    <w:lvl w:ilvl="0" w:tplc="99387740">
      <w:start w:val="1"/>
      <w:numFmt w:val="decimal"/>
      <w:lvlText w:val="%1."/>
      <w:lvlJc w:val="left"/>
      <w:pPr>
        <w:tabs>
          <w:tab w:val="num" w:pos="720"/>
        </w:tabs>
        <w:ind w:left="720" w:hanging="720"/>
      </w:pPr>
      <w:rPr>
        <w:rFonts w:cs="Times New Roman"/>
      </w:rPr>
    </w:lvl>
    <w:lvl w:ilvl="1" w:tplc="6038A1D0">
      <w:start w:val="1"/>
      <w:numFmt w:val="decimal"/>
      <w:lvlText w:val="%2."/>
      <w:lvlJc w:val="left"/>
      <w:pPr>
        <w:tabs>
          <w:tab w:val="num" w:pos="1440"/>
        </w:tabs>
        <w:ind w:left="1440" w:hanging="720"/>
      </w:pPr>
      <w:rPr>
        <w:rFonts w:cs="Times New Roman"/>
      </w:rPr>
    </w:lvl>
    <w:lvl w:ilvl="2" w:tplc="58180752">
      <w:start w:val="1"/>
      <w:numFmt w:val="decimal"/>
      <w:lvlText w:val="%3."/>
      <w:lvlJc w:val="left"/>
      <w:pPr>
        <w:tabs>
          <w:tab w:val="num" w:pos="2160"/>
        </w:tabs>
        <w:ind w:left="2160" w:hanging="720"/>
      </w:pPr>
      <w:rPr>
        <w:rFonts w:cs="Times New Roman"/>
      </w:rPr>
    </w:lvl>
    <w:lvl w:ilvl="3" w:tplc="4F4A6066">
      <w:start w:val="1"/>
      <w:numFmt w:val="decimal"/>
      <w:lvlText w:val="%4."/>
      <w:lvlJc w:val="left"/>
      <w:pPr>
        <w:tabs>
          <w:tab w:val="num" w:pos="2880"/>
        </w:tabs>
        <w:ind w:left="2880" w:hanging="720"/>
      </w:pPr>
      <w:rPr>
        <w:rFonts w:cs="Times New Roman"/>
      </w:rPr>
    </w:lvl>
    <w:lvl w:ilvl="4" w:tplc="AA54E7E0">
      <w:start w:val="1"/>
      <w:numFmt w:val="decimal"/>
      <w:lvlText w:val="%5."/>
      <w:lvlJc w:val="left"/>
      <w:pPr>
        <w:tabs>
          <w:tab w:val="num" w:pos="3600"/>
        </w:tabs>
        <w:ind w:left="3600" w:hanging="720"/>
      </w:pPr>
      <w:rPr>
        <w:rFonts w:cs="Times New Roman"/>
      </w:rPr>
    </w:lvl>
    <w:lvl w:ilvl="5" w:tplc="21F07F5C">
      <w:start w:val="1"/>
      <w:numFmt w:val="decimal"/>
      <w:lvlText w:val="%6."/>
      <w:lvlJc w:val="left"/>
      <w:pPr>
        <w:tabs>
          <w:tab w:val="num" w:pos="4320"/>
        </w:tabs>
        <w:ind w:left="4320" w:hanging="720"/>
      </w:pPr>
      <w:rPr>
        <w:rFonts w:cs="Times New Roman"/>
      </w:rPr>
    </w:lvl>
    <w:lvl w:ilvl="6" w:tplc="73089E60">
      <w:start w:val="1"/>
      <w:numFmt w:val="decimal"/>
      <w:lvlText w:val="%7."/>
      <w:lvlJc w:val="left"/>
      <w:pPr>
        <w:tabs>
          <w:tab w:val="num" w:pos="5040"/>
        </w:tabs>
        <w:ind w:left="5040" w:hanging="720"/>
      </w:pPr>
      <w:rPr>
        <w:rFonts w:cs="Times New Roman"/>
      </w:rPr>
    </w:lvl>
    <w:lvl w:ilvl="7" w:tplc="6854D65C">
      <w:start w:val="1"/>
      <w:numFmt w:val="decimal"/>
      <w:lvlText w:val="%8."/>
      <w:lvlJc w:val="left"/>
      <w:pPr>
        <w:tabs>
          <w:tab w:val="num" w:pos="5760"/>
        </w:tabs>
        <w:ind w:left="5760" w:hanging="720"/>
      </w:pPr>
      <w:rPr>
        <w:rFonts w:cs="Times New Roman"/>
      </w:rPr>
    </w:lvl>
    <w:lvl w:ilvl="8" w:tplc="2DB0090E">
      <w:start w:val="1"/>
      <w:numFmt w:val="decimal"/>
      <w:lvlText w:val="%9."/>
      <w:lvlJc w:val="left"/>
      <w:pPr>
        <w:tabs>
          <w:tab w:val="num" w:pos="6480"/>
        </w:tabs>
        <w:ind w:left="6480" w:hanging="720"/>
      </w:pPr>
      <w:rPr>
        <w:rFonts w:cs="Times New Roman"/>
      </w:rPr>
    </w:lvl>
  </w:abstractNum>
  <w:num w:numId="1" w16cid:durableId="1437941829">
    <w:abstractNumId w:val="7"/>
  </w:num>
  <w:num w:numId="2" w16cid:durableId="1028023337">
    <w:abstractNumId w:val="9"/>
  </w:num>
  <w:num w:numId="3" w16cid:durableId="1912276497">
    <w:abstractNumId w:val="5"/>
  </w:num>
  <w:num w:numId="4" w16cid:durableId="1550340127">
    <w:abstractNumId w:val="18"/>
  </w:num>
  <w:num w:numId="5" w16cid:durableId="304698249">
    <w:abstractNumId w:val="3"/>
  </w:num>
  <w:num w:numId="6" w16cid:durableId="1252592234">
    <w:abstractNumId w:val="12"/>
  </w:num>
  <w:num w:numId="7" w16cid:durableId="1793671480">
    <w:abstractNumId w:val="6"/>
  </w:num>
  <w:num w:numId="8" w16cid:durableId="1316376830">
    <w:abstractNumId w:val="19"/>
  </w:num>
  <w:num w:numId="9" w16cid:durableId="585892069">
    <w:abstractNumId w:val="20"/>
  </w:num>
  <w:num w:numId="10" w16cid:durableId="492918760">
    <w:abstractNumId w:val="2"/>
  </w:num>
  <w:num w:numId="11" w16cid:durableId="1111047312">
    <w:abstractNumId w:val="14"/>
  </w:num>
  <w:num w:numId="12" w16cid:durableId="508368453">
    <w:abstractNumId w:val="0"/>
  </w:num>
  <w:num w:numId="13" w16cid:durableId="1337221542">
    <w:abstractNumId w:val="1"/>
  </w:num>
  <w:num w:numId="14" w16cid:durableId="1993213595">
    <w:abstractNumId w:val="10"/>
  </w:num>
  <w:num w:numId="15" w16cid:durableId="1487471182">
    <w:abstractNumId w:val="13"/>
  </w:num>
  <w:num w:numId="16" w16cid:durableId="1376126156">
    <w:abstractNumId w:val="11"/>
  </w:num>
  <w:num w:numId="17" w16cid:durableId="882132389">
    <w:abstractNumId w:val="21"/>
  </w:num>
  <w:num w:numId="18" w16cid:durableId="1053042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921628">
    <w:abstractNumId w:val="17"/>
  </w:num>
  <w:num w:numId="20" w16cid:durableId="2078235321">
    <w:abstractNumId w:val="4"/>
  </w:num>
  <w:num w:numId="21" w16cid:durableId="1512260454">
    <w:abstractNumId w:val="15"/>
  </w:num>
  <w:num w:numId="22" w16cid:durableId="1617520003">
    <w:abstractNumId w:val="16"/>
  </w:num>
  <w:num w:numId="23" w16cid:durableId="13520257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05"/>
    <w:rsid w:val="00012E66"/>
    <w:rsid w:val="00016B96"/>
    <w:rsid w:val="000230C2"/>
    <w:rsid w:val="00033664"/>
    <w:rsid w:val="0004335C"/>
    <w:rsid w:val="000460C3"/>
    <w:rsid w:val="000531CE"/>
    <w:rsid w:val="00060156"/>
    <w:rsid w:val="00084C12"/>
    <w:rsid w:val="00086497"/>
    <w:rsid w:val="00091A46"/>
    <w:rsid w:val="00092BA3"/>
    <w:rsid w:val="00094B02"/>
    <w:rsid w:val="000954E2"/>
    <w:rsid w:val="000B375F"/>
    <w:rsid w:val="000B6111"/>
    <w:rsid w:val="000B7116"/>
    <w:rsid w:val="000C1EF8"/>
    <w:rsid w:val="000C224F"/>
    <w:rsid w:val="000C2A11"/>
    <w:rsid w:val="000C4AF4"/>
    <w:rsid w:val="000D03AF"/>
    <w:rsid w:val="000D298A"/>
    <w:rsid w:val="000D7F42"/>
    <w:rsid w:val="000E6D8F"/>
    <w:rsid w:val="000F01F5"/>
    <w:rsid w:val="000F087A"/>
    <w:rsid w:val="000F2D9A"/>
    <w:rsid w:val="000F3459"/>
    <w:rsid w:val="00111B0A"/>
    <w:rsid w:val="00115174"/>
    <w:rsid w:val="001167E7"/>
    <w:rsid w:val="001242C7"/>
    <w:rsid w:val="001261E4"/>
    <w:rsid w:val="00135985"/>
    <w:rsid w:val="00141C1E"/>
    <w:rsid w:val="00142B37"/>
    <w:rsid w:val="00143D12"/>
    <w:rsid w:val="00146815"/>
    <w:rsid w:val="001556A4"/>
    <w:rsid w:val="00155D54"/>
    <w:rsid w:val="0016241C"/>
    <w:rsid w:val="001764FA"/>
    <w:rsid w:val="0017728E"/>
    <w:rsid w:val="001779C2"/>
    <w:rsid w:val="00180C03"/>
    <w:rsid w:val="00186549"/>
    <w:rsid w:val="00190894"/>
    <w:rsid w:val="00190EE0"/>
    <w:rsid w:val="00195ED2"/>
    <w:rsid w:val="001A02AD"/>
    <w:rsid w:val="001A0F00"/>
    <w:rsid w:val="001A106C"/>
    <w:rsid w:val="001A23D0"/>
    <w:rsid w:val="001A68D4"/>
    <w:rsid w:val="001D434D"/>
    <w:rsid w:val="001E01E9"/>
    <w:rsid w:val="001E3603"/>
    <w:rsid w:val="001E5E58"/>
    <w:rsid w:val="001E7675"/>
    <w:rsid w:val="001F5C5E"/>
    <w:rsid w:val="001F78B1"/>
    <w:rsid w:val="00200D00"/>
    <w:rsid w:val="002048B6"/>
    <w:rsid w:val="00204E25"/>
    <w:rsid w:val="0022095B"/>
    <w:rsid w:val="002229B8"/>
    <w:rsid w:val="002236EB"/>
    <w:rsid w:val="00231257"/>
    <w:rsid w:val="00235990"/>
    <w:rsid w:val="00237A4A"/>
    <w:rsid w:val="00246493"/>
    <w:rsid w:val="00266559"/>
    <w:rsid w:val="00267839"/>
    <w:rsid w:val="00275068"/>
    <w:rsid w:val="002814FD"/>
    <w:rsid w:val="00285D7E"/>
    <w:rsid w:val="00297E89"/>
    <w:rsid w:val="002A4A59"/>
    <w:rsid w:val="002A6130"/>
    <w:rsid w:val="002B2703"/>
    <w:rsid w:val="002B2E05"/>
    <w:rsid w:val="002B4E8B"/>
    <w:rsid w:val="002B57BC"/>
    <w:rsid w:val="002D282E"/>
    <w:rsid w:val="002D6698"/>
    <w:rsid w:val="002F51AB"/>
    <w:rsid w:val="00305DE6"/>
    <w:rsid w:val="00306900"/>
    <w:rsid w:val="00313B0C"/>
    <w:rsid w:val="00317790"/>
    <w:rsid w:val="003325B3"/>
    <w:rsid w:val="003366F8"/>
    <w:rsid w:val="00350077"/>
    <w:rsid w:val="00357CD8"/>
    <w:rsid w:val="00361D20"/>
    <w:rsid w:val="003823A7"/>
    <w:rsid w:val="0038397F"/>
    <w:rsid w:val="00384D26"/>
    <w:rsid w:val="003955F7"/>
    <w:rsid w:val="003A1E81"/>
    <w:rsid w:val="003A1F53"/>
    <w:rsid w:val="003A7641"/>
    <w:rsid w:val="003B3F10"/>
    <w:rsid w:val="003C5BA9"/>
    <w:rsid w:val="003C78C1"/>
    <w:rsid w:val="003D0E69"/>
    <w:rsid w:val="003D30F1"/>
    <w:rsid w:val="003D60DB"/>
    <w:rsid w:val="003E24F0"/>
    <w:rsid w:val="00401899"/>
    <w:rsid w:val="00403768"/>
    <w:rsid w:val="004050A0"/>
    <w:rsid w:val="00410910"/>
    <w:rsid w:val="00422D14"/>
    <w:rsid w:val="004270CD"/>
    <w:rsid w:val="00433D1E"/>
    <w:rsid w:val="004366CC"/>
    <w:rsid w:val="00457ACB"/>
    <w:rsid w:val="004626A7"/>
    <w:rsid w:val="00465E95"/>
    <w:rsid w:val="00480245"/>
    <w:rsid w:val="00493F55"/>
    <w:rsid w:val="004A2C16"/>
    <w:rsid w:val="004A33F9"/>
    <w:rsid w:val="004A6A5A"/>
    <w:rsid w:val="004B17EC"/>
    <w:rsid w:val="004C3B94"/>
    <w:rsid w:val="004C548B"/>
    <w:rsid w:val="004D26F5"/>
    <w:rsid w:val="004D4C0B"/>
    <w:rsid w:val="004F2FB5"/>
    <w:rsid w:val="004F6464"/>
    <w:rsid w:val="00513E4C"/>
    <w:rsid w:val="00517B0D"/>
    <w:rsid w:val="005201FA"/>
    <w:rsid w:val="005209FD"/>
    <w:rsid w:val="00524471"/>
    <w:rsid w:val="005276AF"/>
    <w:rsid w:val="005512F3"/>
    <w:rsid w:val="0055454F"/>
    <w:rsid w:val="005666A8"/>
    <w:rsid w:val="005715DA"/>
    <w:rsid w:val="00582AEF"/>
    <w:rsid w:val="00590348"/>
    <w:rsid w:val="00594411"/>
    <w:rsid w:val="00594B68"/>
    <w:rsid w:val="005955DD"/>
    <w:rsid w:val="00596E06"/>
    <w:rsid w:val="00597CC5"/>
    <w:rsid w:val="005A555E"/>
    <w:rsid w:val="005B5D75"/>
    <w:rsid w:val="005C2B04"/>
    <w:rsid w:val="005C34BA"/>
    <w:rsid w:val="005C7023"/>
    <w:rsid w:val="005D4DC0"/>
    <w:rsid w:val="005E3B5D"/>
    <w:rsid w:val="005F194C"/>
    <w:rsid w:val="005F313E"/>
    <w:rsid w:val="00603CB0"/>
    <w:rsid w:val="006053EA"/>
    <w:rsid w:val="00605F07"/>
    <w:rsid w:val="006171CC"/>
    <w:rsid w:val="00620BB6"/>
    <w:rsid w:val="006333EB"/>
    <w:rsid w:val="00633780"/>
    <w:rsid w:val="00636E4E"/>
    <w:rsid w:val="00640007"/>
    <w:rsid w:val="006478E7"/>
    <w:rsid w:val="00647ED0"/>
    <w:rsid w:val="006510A9"/>
    <w:rsid w:val="00652CC8"/>
    <w:rsid w:val="00671328"/>
    <w:rsid w:val="0067245A"/>
    <w:rsid w:val="00676390"/>
    <w:rsid w:val="00692628"/>
    <w:rsid w:val="00692768"/>
    <w:rsid w:val="00693E73"/>
    <w:rsid w:val="0069469B"/>
    <w:rsid w:val="006A1357"/>
    <w:rsid w:val="006A17F2"/>
    <w:rsid w:val="006B0A34"/>
    <w:rsid w:val="006B391E"/>
    <w:rsid w:val="006B698A"/>
    <w:rsid w:val="006C09CD"/>
    <w:rsid w:val="006C24F3"/>
    <w:rsid w:val="006D3082"/>
    <w:rsid w:val="006D615D"/>
    <w:rsid w:val="006F0BBF"/>
    <w:rsid w:val="006F2D0A"/>
    <w:rsid w:val="007053B2"/>
    <w:rsid w:val="00705BD6"/>
    <w:rsid w:val="007118B9"/>
    <w:rsid w:val="0071263D"/>
    <w:rsid w:val="007149D5"/>
    <w:rsid w:val="00721078"/>
    <w:rsid w:val="007228F9"/>
    <w:rsid w:val="00730735"/>
    <w:rsid w:val="00737032"/>
    <w:rsid w:val="007426F8"/>
    <w:rsid w:val="00755EAD"/>
    <w:rsid w:val="00757FFA"/>
    <w:rsid w:val="0076667D"/>
    <w:rsid w:val="00770F6B"/>
    <w:rsid w:val="00775014"/>
    <w:rsid w:val="00777448"/>
    <w:rsid w:val="00785B37"/>
    <w:rsid w:val="007943E8"/>
    <w:rsid w:val="007960E1"/>
    <w:rsid w:val="007A0177"/>
    <w:rsid w:val="007A1764"/>
    <w:rsid w:val="007A38EB"/>
    <w:rsid w:val="007A4776"/>
    <w:rsid w:val="007A7B43"/>
    <w:rsid w:val="007B28D2"/>
    <w:rsid w:val="007C0E2A"/>
    <w:rsid w:val="007C1E5E"/>
    <w:rsid w:val="007C5A1D"/>
    <w:rsid w:val="007D0128"/>
    <w:rsid w:val="007D44DB"/>
    <w:rsid w:val="007E1C4D"/>
    <w:rsid w:val="007E5DD1"/>
    <w:rsid w:val="007F7A42"/>
    <w:rsid w:val="00800ED0"/>
    <w:rsid w:val="00801805"/>
    <w:rsid w:val="0080333A"/>
    <w:rsid w:val="00807EAE"/>
    <w:rsid w:val="00817744"/>
    <w:rsid w:val="00824532"/>
    <w:rsid w:val="00825F80"/>
    <w:rsid w:val="008261FC"/>
    <w:rsid w:val="0082682B"/>
    <w:rsid w:val="00827D9A"/>
    <w:rsid w:val="008316D8"/>
    <w:rsid w:val="0083347D"/>
    <w:rsid w:val="008349BA"/>
    <w:rsid w:val="00835F85"/>
    <w:rsid w:val="00846AE1"/>
    <w:rsid w:val="008571BC"/>
    <w:rsid w:val="0087043F"/>
    <w:rsid w:val="00876CEC"/>
    <w:rsid w:val="00881D41"/>
    <w:rsid w:val="00883A23"/>
    <w:rsid w:val="00884B9D"/>
    <w:rsid w:val="0089110A"/>
    <w:rsid w:val="00891B5C"/>
    <w:rsid w:val="0089340A"/>
    <w:rsid w:val="008960FA"/>
    <w:rsid w:val="008968AC"/>
    <w:rsid w:val="008A659B"/>
    <w:rsid w:val="008B2122"/>
    <w:rsid w:val="008B4007"/>
    <w:rsid w:val="008C410F"/>
    <w:rsid w:val="008C4E4A"/>
    <w:rsid w:val="008D3922"/>
    <w:rsid w:val="008D7DB5"/>
    <w:rsid w:val="008F3753"/>
    <w:rsid w:val="008F4D57"/>
    <w:rsid w:val="009027E4"/>
    <w:rsid w:val="00902E1F"/>
    <w:rsid w:val="009073FC"/>
    <w:rsid w:val="00910B32"/>
    <w:rsid w:val="00913EA6"/>
    <w:rsid w:val="00920C5D"/>
    <w:rsid w:val="00922735"/>
    <w:rsid w:val="00923BCD"/>
    <w:rsid w:val="009323BB"/>
    <w:rsid w:val="009463EF"/>
    <w:rsid w:val="0095440A"/>
    <w:rsid w:val="0095656E"/>
    <w:rsid w:val="00956CF8"/>
    <w:rsid w:val="00962732"/>
    <w:rsid w:val="00963FE7"/>
    <w:rsid w:val="00966CCF"/>
    <w:rsid w:val="00970574"/>
    <w:rsid w:val="00980712"/>
    <w:rsid w:val="0099282E"/>
    <w:rsid w:val="00996EBD"/>
    <w:rsid w:val="009A3372"/>
    <w:rsid w:val="009B1090"/>
    <w:rsid w:val="009B4200"/>
    <w:rsid w:val="009B437A"/>
    <w:rsid w:val="009B6506"/>
    <w:rsid w:val="009C09CB"/>
    <w:rsid w:val="009C16FC"/>
    <w:rsid w:val="009C17FA"/>
    <w:rsid w:val="009C20DE"/>
    <w:rsid w:val="009C6E36"/>
    <w:rsid w:val="009D24C2"/>
    <w:rsid w:val="009D4507"/>
    <w:rsid w:val="009E629C"/>
    <w:rsid w:val="009F6BBE"/>
    <w:rsid w:val="009F761C"/>
    <w:rsid w:val="00A07D19"/>
    <w:rsid w:val="00A07DC0"/>
    <w:rsid w:val="00A1727F"/>
    <w:rsid w:val="00A21D76"/>
    <w:rsid w:val="00A25B0B"/>
    <w:rsid w:val="00A33EC4"/>
    <w:rsid w:val="00A37E04"/>
    <w:rsid w:val="00A42379"/>
    <w:rsid w:val="00A51226"/>
    <w:rsid w:val="00A62E6E"/>
    <w:rsid w:val="00A635F2"/>
    <w:rsid w:val="00A7254E"/>
    <w:rsid w:val="00A77138"/>
    <w:rsid w:val="00A92277"/>
    <w:rsid w:val="00AA63A1"/>
    <w:rsid w:val="00AB03C3"/>
    <w:rsid w:val="00AB077C"/>
    <w:rsid w:val="00AB28D2"/>
    <w:rsid w:val="00AB2ADB"/>
    <w:rsid w:val="00AB38C2"/>
    <w:rsid w:val="00AC24DC"/>
    <w:rsid w:val="00AC3492"/>
    <w:rsid w:val="00AC5530"/>
    <w:rsid w:val="00AC5534"/>
    <w:rsid w:val="00AC6693"/>
    <w:rsid w:val="00AD0E29"/>
    <w:rsid w:val="00AD4720"/>
    <w:rsid w:val="00AD7651"/>
    <w:rsid w:val="00AE3EAC"/>
    <w:rsid w:val="00AE4FB0"/>
    <w:rsid w:val="00AF2D19"/>
    <w:rsid w:val="00AF5414"/>
    <w:rsid w:val="00AF7ECB"/>
    <w:rsid w:val="00B00458"/>
    <w:rsid w:val="00B01BD6"/>
    <w:rsid w:val="00B24434"/>
    <w:rsid w:val="00B33811"/>
    <w:rsid w:val="00B35159"/>
    <w:rsid w:val="00B353CC"/>
    <w:rsid w:val="00B41033"/>
    <w:rsid w:val="00B4177C"/>
    <w:rsid w:val="00B46A3C"/>
    <w:rsid w:val="00B569A9"/>
    <w:rsid w:val="00B815B1"/>
    <w:rsid w:val="00B82DE6"/>
    <w:rsid w:val="00B8608F"/>
    <w:rsid w:val="00B91360"/>
    <w:rsid w:val="00BA5911"/>
    <w:rsid w:val="00BA73D4"/>
    <w:rsid w:val="00BB3524"/>
    <w:rsid w:val="00BB3931"/>
    <w:rsid w:val="00BB4E26"/>
    <w:rsid w:val="00BC38C5"/>
    <w:rsid w:val="00BD2340"/>
    <w:rsid w:val="00BD469E"/>
    <w:rsid w:val="00BE2B13"/>
    <w:rsid w:val="00BF1CC2"/>
    <w:rsid w:val="00BF44D9"/>
    <w:rsid w:val="00C06A78"/>
    <w:rsid w:val="00C07FDC"/>
    <w:rsid w:val="00C21D98"/>
    <w:rsid w:val="00C22AAD"/>
    <w:rsid w:val="00C2492B"/>
    <w:rsid w:val="00C4257A"/>
    <w:rsid w:val="00C62CFA"/>
    <w:rsid w:val="00C63ED6"/>
    <w:rsid w:val="00C73914"/>
    <w:rsid w:val="00C74570"/>
    <w:rsid w:val="00C7571E"/>
    <w:rsid w:val="00C84C7E"/>
    <w:rsid w:val="00C863E2"/>
    <w:rsid w:val="00C91F12"/>
    <w:rsid w:val="00C94797"/>
    <w:rsid w:val="00C97C80"/>
    <w:rsid w:val="00CA1C8D"/>
    <w:rsid w:val="00CA2CF3"/>
    <w:rsid w:val="00CB3531"/>
    <w:rsid w:val="00CB5DB0"/>
    <w:rsid w:val="00CB5E03"/>
    <w:rsid w:val="00CE0CCF"/>
    <w:rsid w:val="00CF0A05"/>
    <w:rsid w:val="00CF4B4E"/>
    <w:rsid w:val="00CF6326"/>
    <w:rsid w:val="00D0022F"/>
    <w:rsid w:val="00D004E5"/>
    <w:rsid w:val="00D20274"/>
    <w:rsid w:val="00D20380"/>
    <w:rsid w:val="00D27E24"/>
    <w:rsid w:val="00D35E43"/>
    <w:rsid w:val="00D40B6F"/>
    <w:rsid w:val="00D51641"/>
    <w:rsid w:val="00D62251"/>
    <w:rsid w:val="00D66E00"/>
    <w:rsid w:val="00D70B18"/>
    <w:rsid w:val="00D745A2"/>
    <w:rsid w:val="00D76B78"/>
    <w:rsid w:val="00D76EC9"/>
    <w:rsid w:val="00D76F09"/>
    <w:rsid w:val="00D93E84"/>
    <w:rsid w:val="00DA31BD"/>
    <w:rsid w:val="00DA72FA"/>
    <w:rsid w:val="00DB4074"/>
    <w:rsid w:val="00DC38A6"/>
    <w:rsid w:val="00DD4D49"/>
    <w:rsid w:val="00DF0F45"/>
    <w:rsid w:val="00E0233B"/>
    <w:rsid w:val="00E0425A"/>
    <w:rsid w:val="00E0673A"/>
    <w:rsid w:val="00E13299"/>
    <w:rsid w:val="00E16846"/>
    <w:rsid w:val="00E174C4"/>
    <w:rsid w:val="00E31639"/>
    <w:rsid w:val="00E35FF5"/>
    <w:rsid w:val="00E42F53"/>
    <w:rsid w:val="00E47EA8"/>
    <w:rsid w:val="00E53C3C"/>
    <w:rsid w:val="00E53EB4"/>
    <w:rsid w:val="00E542F8"/>
    <w:rsid w:val="00E61453"/>
    <w:rsid w:val="00E62B20"/>
    <w:rsid w:val="00E65129"/>
    <w:rsid w:val="00E65C20"/>
    <w:rsid w:val="00E775E1"/>
    <w:rsid w:val="00E846E5"/>
    <w:rsid w:val="00E84A4A"/>
    <w:rsid w:val="00E870B8"/>
    <w:rsid w:val="00E87186"/>
    <w:rsid w:val="00EA36E1"/>
    <w:rsid w:val="00EA5D8E"/>
    <w:rsid w:val="00EA672C"/>
    <w:rsid w:val="00EB274D"/>
    <w:rsid w:val="00EB69CD"/>
    <w:rsid w:val="00EC2AA5"/>
    <w:rsid w:val="00EC7759"/>
    <w:rsid w:val="00ED31B8"/>
    <w:rsid w:val="00ED6DAC"/>
    <w:rsid w:val="00EE103B"/>
    <w:rsid w:val="00EE4884"/>
    <w:rsid w:val="00EF357B"/>
    <w:rsid w:val="00EF6121"/>
    <w:rsid w:val="00F02F2E"/>
    <w:rsid w:val="00F12689"/>
    <w:rsid w:val="00F21E67"/>
    <w:rsid w:val="00F24BD8"/>
    <w:rsid w:val="00F254D1"/>
    <w:rsid w:val="00F30B96"/>
    <w:rsid w:val="00F345C8"/>
    <w:rsid w:val="00F472B9"/>
    <w:rsid w:val="00F55FD8"/>
    <w:rsid w:val="00F5663C"/>
    <w:rsid w:val="00F57FA9"/>
    <w:rsid w:val="00F67815"/>
    <w:rsid w:val="00F725C4"/>
    <w:rsid w:val="00F72C79"/>
    <w:rsid w:val="00F75B17"/>
    <w:rsid w:val="00F814F2"/>
    <w:rsid w:val="00F84AFF"/>
    <w:rsid w:val="00F96FAA"/>
    <w:rsid w:val="00FB0EC5"/>
    <w:rsid w:val="00FB253C"/>
    <w:rsid w:val="00FC02BC"/>
    <w:rsid w:val="00FC4088"/>
    <w:rsid w:val="00FD735B"/>
    <w:rsid w:val="00FD7530"/>
    <w:rsid w:val="00FE16AE"/>
    <w:rsid w:val="00FE6997"/>
    <w:rsid w:val="00FE7512"/>
    <w:rsid w:val="00FF3FF0"/>
    <w:rsid w:val="054632BA"/>
    <w:rsid w:val="0650F09D"/>
    <w:rsid w:val="066D4B6B"/>
    <w:rsid w:val="09B58161"/>
    <w:rsid w:val="0A56E871"/>
    <w:rsid w:val="0E3EB3C7"/>
    <w:rsid w:val="16A3F2C4"/>
    <w:rsid w:val="16AD640C"/>
    <w:rsid w:val="1D91D9CA"/>
    <w:rsid w:val="2E23D13E"/>
    <w:rsid w:val="2E813B56"/>
    <w:rsid w:val="35C10881"/>
    <w:rsid w:val="35E15AC4"/>
    <w:rsid w:val="36106B46"/>
    <w:rsid w:val="39B8BDA2"/>
    <w:rsid w:val="3B4AAF0E"/>
    <w:rsid w:val="3E5F1D72"/>
    <w:rsid w:val="474EE163"/>
    <w:rsid w:val="4DE931AA"/>
    <w:rsid w:val="54609720"/>
    <w:rsid w:val="58FD200F"/>
    <w:rsid w:val="5C50571C"/>
    <w:rsid w:val="61E4C2C0"/>
    <w:rsid w:val="6496E47A"/>
    <w:rsid w:val="677497BD"/>
    <w:rsid w:val="69F15EF4"/>
    <w:rsid w:val="6D4A17EF"/>
    <w:rsid w:val="6EF53924"/>
    <w:rsid w:val="77F7F6F4"/>
    <w:rsid w:val="7A92EB4F"/>
    <w:rsid w:val="7C576AB7"/>
    <w:rsid w:val="7EF4F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631E03"/>
  <w15:docId w15:val="{B528F4F0-DAB1-445A-A189-F1B24659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082"/>
    <w:rPr>
      <w:sz w:val="24"/>
      <w:szCs w:val="24"/>
    </w:rPr>
  </w:style>
  <w:style w:type="paragraph" w:styleId="Heading1">
    <w:name w:val="heading 1"/>
    <w:basedOn w:val="Normal"/>
    <w:next w:val="Normal"/>
    <w:qFormat/>
    <w:rsid w:val="000B61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6111"/>
    <w:pPr>
      <w:keepNext/>
      <w:outlineLvl w:val="1"/>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0A05"/>
    <w:pPr>
      <w:tabs>
        <w:tab w:val="center" w:pos="4153"/>
        <w:tab w:val="right" w:pos="8306"/>
      </w:tabs>
    </w:pPr>
  </w:style>
  <w:style w:type="paragraph" w:styleId="Footer">
    <w:name w:val="footer"/>
    <w:basedOn w:val="Normal"/>
    <w:link w:val="FooterChar"/>
    <w:uiPriority w:val="99"/>
    <w:rsid w:val="00CF0A05"/>
    <w:pPr>
      <w:tabs>
        <w:tab w:val="center" w:pos="4153"/>
        <w:tab w:val="right" w:pos="8306"/>
      </w:tabs>
    </w:pPr>
  </w:style>
  <w:style w:type="table" w:styleId="TableGrid">
    <w:name w:val="Table Grid"/>
    <w:basedOn w:val="TableNormal"/>
    <w:rsid w:val="00CF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CF0A05"/>
  </w:style>
  <w:style w:type="paragraph" w:styleId="BodyText">
    <w:name w:val="Body Text"/>
    <w:basedOn w:val="Normal"/>
    <w:rsid w:val="00F24BD8"/>
    <w:pPr>
      <w:jc w:val="center"/>
    </w:pPr>
    <w:rPr>
      <w:b/>
      <w:szCs w:val="20"/>
      <w:lang w:eastAsia="en-US"/>
    </w:rPr>
  </w:style>
  <w:style w:type="character" w:styleId="Hyperlink">
    <w:name w:val="Hyperlink"/>
    <w:basedOn w:val="DefaultParagraphFont"/>
    <w:rsid w:val="00F24BD8"/>
    <w:rPr>
      <w:color w:val="0000FF"/>
      <w:u w:val="single"/>
    </w:rPr>
  </w:style>
  <w:style w:type="paragraph" w:styleId="Title">
    <w:name w:val="Title"/>
    <w:basedOn w:val="Normal"/>
    <w:qFormat/>
    <w:rsid w:val="000B6111"/>
    <w:pPr>
      <w:jc w:val="center"/>
    </w:pPr>
    <w:rPr>
      <w:b/>
      <w:bCs/>
      <w:sz w:val="36"/>
      <w:u w:val="single"/>
      <w:lang w:eastAsia="en-US"/>
    </w:rPr>
  </w:style>
  <w:style w:type="paragraph" w:styleId="CommentText">
    <w:name w:val="annotation text"/>
    <w:basedOn w:val="Normal"/>
    <w:semiHidden/>
    <w:rsid w:val="00267839"/>
    <w:rPr>
      <w:sz w:val="20"/>
      <w:szCs w:val="20"/>
    </w:rPr>
  </w:style>
  <w:style w:type="character" w:styleId="CommentReference">
    <w:name w:val="annotation reference"/>
    <w:basedOn w:val="DefaultParagraphFont"/>
    <w:semiHidden/>
    <w:rsid w:val="00267839"/>
    <w:rPr>
      <w:sz w:val="16"/>
      <w:szCs w:val="16"/>
    </w:rPr>
  </w:style>
  <w:style w:type="paragraph" w:styleId="BalloonText">
    <w:name w:val="Balloon Text"/>
    <w:basedOn w:val="Normal"/>
    <w:semiHidden/>
    <w:rsid w:val="00267839"/>
    <w:rPr>
      <w:rFonts w:ascii="Tahoma" w:hAnsi="Tahoma" w:cs="Tahoma"/>
      <w:sz w:val="16"/>
      <w:szCs w:val="16"/>
    </w:rPr>
  </w:style>
  <w:style w:type="paragraph" w:styleId="CommentSubject">
    <w:name w:val="annotation subject"/>
    <w:basedOn w:val="CommentText"/>
    <w:next w:val="CommentText"/>
    <w:semiHidden/>
    <w:rsid w:val="00267839"/>
    <w:rPr>
      <w:b/>
      <w:bCs/>
    </w:rPr>
  </w:style>
  <w:style w:type="paragraph" w:styleId="TOC1">
    <w:name w:val="toc 1"/>
    <w:basedOn w:val="Normal"/>
    <w:next w:val="Normal"/>
    <w:autoRedefine/>
    <w:semiHidden/>
    <w:rsid w:val="0055454F"/>
    <w:rPr>
      <w:rFonts w:ascii="Tahoma" w:hAnsi="Tahoma"/>
      <w:bCs/>
      <w:smallCaps/>
      <w:sz w:val="20"/>
      <w:szCs w:val="22"/>
    </w:rPr>
  </w:style>
  <w:style w:type="paragraph" w:styleId="TOC2">
    <w:name w:val="toc 2"/>
    <w:basedOn w:val="Normal"/>
    <w:next w:val="Normal"/>
    <w:autoRedefine/>
    <w:semiHidden/>
    <w:rsid w:val="0055454F"/>
    <w:pPr>
      <w:ind w:left="567"/>
    </w:pPr>
    <w:rPr>
      <w:rFonts w:ascii="Tahoma" w:hAnsi="Tahoma"/>
      <w:bCs/>
      <w:i/>
      <w:sz w:val="20"/>
      <w:szCs w:val="22"/>
    </w:rPr>
  </w:style>
  <w:style w:type="paragraph" w:styleId="TOC3">
    <w:name w:val="toc 3"/>
    <w:basedOn w:val="Normal"/>
    <w:next w:val="Normal"/>
    <w:autoRedefine/>
    <w:semiHidden/>
    <w:rsid w:val="00E174C4"/>
    <w:rPr>
      <w:smallCaps/>
      <w:sz w:val="22"/>
      <w:szCs w:val="22"/>
    </w:rPr>
  </w:style>
  <w:style w:type="paragraph" w:styleId="TOC4">
    <w:name w:val="toc 4"/>
    <w:basedOn w:val="Normal"/>
    <w:next w:val="Normal"/>
    <w:autoRedefine/>
    <w:semiHidden/>
    <w:rsid w:val="00E174C4"/>
    <w:rPr>
      <w:sz w:val="22"/>
      <w:szCs w:val="22"/>
    </w:rPr>
  </w:style>
  <w:style w:type="paragraph" w:styleId="TOC5">
    <w:name w:val="toc 5"/>
    <w:basedOn w:val="Normal"/>
    <w:next w:val="Normal"/>
    <w:autoRedefine/>
    <w:semiHidden/>
    <w:rsid w:val="00E174C4"/>
    <w:rPr>
      <w:sz w:val="22"/>
      <w:szCs w:val="22"/>
    </w:rPr>
  </w:style>
  <w:style w:type="paragraph" w:styleId="TOC6">
    <w:name w:val="toc 6"/>
    <w:basedOn w:val="Normal"/>
    <w:next w:val="Normal"/>
    <w:autoRedefine/>
    <w:semiHidden/>
    <w:rsid w:val="00E174C4"/>
    <w:rPr>
      <w:sz w:val="22"/>
      <w:szCs w:val="22"/>
    </w:rPr>
  </w:style>
  <w:style w:type="paragraph" w:styleId="TOC7">
    <w:name w:val="toc 7"/>
    <w:basedOn w:val="Normal"/>
    <w:next w:val="Normal"/>
    <w:autoRedefine/>
    <w:semiHidden/>
    <w:rsid w:val="00E174C4"/>
    <w:rPr>
      <w:sz w:val="22"/>
      <w:szCs w:val="22"/>
    </w:rPr>
  </w:style>
  <w:style w:type="paragraph" w:styleId="TOC8">
    <w:name w:val="toc 8"/>
    <w:basedOn w:val="Normal"/>
    <w:next w:val="Normal"/>
    <w:autoRedefine/>
    <w:semiHidden/>
    <w:rsid w:val="00E174C4"/>
    <w:rPr>
      <w:sz w:val="22"/>
      <w:szCs w:val="22"/>
    </w:rPr>
  </w:style>
  <w:style w:type="paragraph" w:styleId="TOC9">
    <w:name w:val="toc 9"/>
    <w:basedOn w:val="Normal"/>
    <w:next w:val="Normal"/>
    <w:autoRedefine/>
    <w:semiHidden/>
    <w:rsid w:val="00E174C4"/>
    <w:rPr>
      <w:sz w:val="22"/>
      <w:szCs w:val="22"/>
    </w:rPr>
  </w:style>
  <w:style w:type="character" w:styleId="Emphasis">
    <w:name w:val="Emphasis"/>
    <w:basedOn w:val="DefaultParagraphFont"/>
    <w:qFormat/>
    <w:rsid w:val="00AC24DC"/>
    <w:rPr>
      <w:i/>
      <w:iCs/>
    </w:rPr>
  </w:style>
  <w:style w:type="paragraph" w:customStyle="1" w:styleId="Default">
    <w:name w:val="Default"/>
    <w:basedOn w:val="Normal"/>
    <w:rsid w:val="000954E2"/>
    <w:pPr>
      <w:autoSpaceDE w:val="0"/>
      <w:autoSpaceDN w:val="0"/>
    </w:pPr>
    <w:rPr>
      <w:rFonts w:ascii="Arial" w:eastAsia="Calibri" w:hAnsi="Arial" w:cs="Arial"/>
      <w:color w:val="000000"/>
    </w:rPr>
  </w:style>
  <w:style w:type="paragraph" w:styleId="NormalWeb">
    <w:name w:val="Normal (Web)"/>
    <w:basedOn w:val="Normal"/>
    <w:rsid w:val="000C4AF4"/>
    <w:pPr>
      <w:spacing w:before="100" w:beforeAutospacing="1" w:after="75"/>
    </w:pPr>
    <w:rPr>
      <w:color w:val="000000"/>
    </w:rPr>
  </w:style>
  <w:style w:type="paragraph" w:customStyle="1" w:styleId="Normal0">
    <w:name w:val="[Normal]"/>
    <w:rsid w:val="000C4AF4"/>
    <w:pPr>
      <w:widowControl w:val="0"/>
      <w:autoSpaceDE w:val="0"/>
      <w:autoSpaceDN w:val="0"/>
      <w:adjustRightInd w:val="0"/>
    </w:pPr>
    <w:rPr>
      <w:rFonts w:ascii="Arial" w:hAnsi="Arial" w:cs="Arial"/>
      <w:sz w:val="24"/>
      <w:szCs w:val="24"/>
    </w:rPr>
  </w:style>
  <w:style w:type="character" w:styleId="Strong">
    <w:name w:val="Strong"/>
    <w:basedOn w:val="DefaultParagraphFont"/>
    <w:qFormat/>
    <w:rsid w:val="000C4AF4"/>
    <w:rPr>
      <w:b/>
      <w:bCs/>
    </w:rPr>
  </w:style>
  <w:style w:type="character" w:customStyle="1" w:styleId="apple-converted-space">
    <w:name w:val="apple-converted-space"/>
    <w:basedOn w:val="DefaultParagraphFont"/>
    <w:rsid w:val="000C4AF4"/>
  </w:style>
  <w:style w:type="character" w:customStyle="1" w:styleId="HeaderChar">
    <w:name w:val="Header Char"/>
    <w:basedOn w:val="DefaultParagraphFont"/>
    <w:link w:val="Header"/>
    <w:locked/>
    <w:rsid w:val="002B2E05"/>
    <w:rPr>
      <w:sz w:val="24"/>
      <w:szCs w:val="24"/>
    </w:rPr>
  </w:style>
  <w:style w:type="character" w:customStyle="1" w:styleId="FooterChar">
    <w:name w:val="Footer Char"/>
    <w:basedOn w:val="DefaultParagraphFont"/>
    <w:link w:val="Footer"/>
    <w:uiPriority w:val="99"/>
    <w:locked/>
    <w:rsid w:val="002B2E05"/>
    <w:rPr>
      <w:sz w:val="24"/>
      <w:szCs w:val="24"/>
    </w:rPr>
  </w:style>
  <w:style w:type="paragraph" w:styleId="ListParagraph">
    <w:name w:val="List Paragraph"/>
    <w:basedOn w:val="Normal"/>
    <w:uiPriority w:val="34"/>
    <w:qFormat/>
    <w:rsid w:val="001E5E58"/>
    <w:pPr>
      <w:ind w:left="720"/>
      <w:contextualSpacing/>
    </w:pPr>
  </w:style>
  <w:style w:type="character" w:customStyle="1" w:styleId="normaltextrun">
    <w:name w:val="normaltextrun"/>
    <w:basedOn w:val="DefaultParagraphFont"/>
    <w:rsid w:val="0004335C"/>
  </w:style>
  <w:style w:type="paragraph" w:styleId="Revision">
    <w:name w:val="Revision"/>
    <w:hidden/>
    <w:uiPriority w:val="99"/>
    <w:semiHidden/>
    <w:rsid w:val="001556A4"/>
    <w:rPr>
      <w:sz w:val="24"/>
      <w:szCs w:val="24"/>
    </w:rPr>
  </w:style>
  <w:style w:type="character" w:styleId="UnresolvedMention">
    <w:name w:val="Unresolved Mention"/>
    <w:basedOn w:val="DefaultParagraphFont"/>
    <w:uiPriority w:val="99"/>
    <w:semiHidden/>
    <w:unhideWhenUsed/>
    <w:rsid w:val="00A7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94000863">
      <w:bodyDiv w:val="1"/>
      <w:marLeft w:val="0"/>
      <w:marRight w:val="0"/>
      <w:marTop w:val="0"/>
      <w:marBottom w:val="0"/>
      <w:divBdr>
        <w:top w:val="none" w:sz="0" w:space="0" w:color="auto"/>
        <w:left w:val="none" w:sz="0" w:space="0" w:color="auto"/>
        <w:bottom w:val="none" w:sz="0" w:space="0" w:color="auto"/>
        <w:right w:val="none" w:sz="0" w:space="0" w:color="auto"/>
      </w:divBdr>
    </w:div>
    <w:div w:id="1076980260">
      <w:bodyDiv w:val="1"/>
      <w:marLeft w:val="0"/>
      <w:marRight w:val="0"/>
      <w:marTop w:val="0"/>
      <w:marBottom w:val="0"/>
      <w:divBdr>
        <w:top w:val="none" w:sz="0" w:space="0" w:color="auto"/>
        <w:left w:val="none" w:sz="0" w:space="0" w:color="auto"/>
        <w:bottom w:val="none" w:sz="0" w:space="0" w:color="auto"/>
        <w:right w:val="none" w:sz="0" w:space="0" w:color="auto"/>
      </w:divBdr>
    </w:div>
    <w:div w:id="1318147672">
      <w:bodyDiv w:val="1"/>
      <w:marLeft w:val="0"/>
      <w:marRight w:val="0"/>
      <w:marTop w:val="0"/>
      <w:marBottom w:val="0"/>
      <w:divBdr>
        <w:top w:val="none" w:sz="0" w:space="0" w:color="auto"/>
        <w:left w:val="none" w:sz="0" w:space="0" w:color="auto"/>
        <w:bottom w:val="none" w:sz="0" w:space="0" w:color="auto"/>
        <w:right w:val="none" w:sz="0" w:space="0" w:color="auto"/>
      </w:divBdr>
      <w:divsChild>
        <w:div w:id="1342590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ottish.sharepoint.com/sites/GGC-MIG/Shared%20Documents/MPG%20Policies/policies%20in%20draft%202025/(SGHD/CMO(2013)20)" TargetMode="External"/><Relationship Id="rId18" Type="http://schemas.openxmlformats.org/officeDocument/2006/relationships/hyperlink" Target="http://www.nhshighland.scot.nhs.uk" TargetMode="External"/><Relationship Id="rId26" Type="http://schemas.openxmlformats.org/officeDocument/2006/relationships/hyperlink" Target="http://www.sign.ac.uk/"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ggcmedicines.org.uk%2Fmedia%2F0xzlja34%2F5-6-co-payment-policy-v3-oct-25.docx&amp;wdOrigin=BROWSELINK" TargetMode="External"/><Relationship Id="rId7" Type="http://schemas.openxmlformats.org/officeDocument/2006/relationships/webSettings" Target="webSettings.xml"/><Relationship Id="rId12" Type="http://schemas.openxmlformats.org/officeDocument/2006/relationships/hyperlink" Target="https://www.publications.scot.nhs.uk/files/cmo-2011-03.pdf" TargetMode="External"/><Relationship Id="rId17" Type="http://schemas.openxmlformats.org/officeDocument/2006/relationships/hyperlink" Target="https://www.publications.scot.nhs.uk/files/cmo-2013-20.pdf" TargetMode="External"/><Relationship Id="rId25" Type="http://schemas.openxmlformats.org/officeDocument/2006/relationships/hyperlink" Target="http://www.wales.nhs.uk/sites3/page.cfm?orgid=371&amp;pid=24773" TargetMode="External"/><Relationship Id="rId2" Type="http://schemas.openxmlformats.org/officeDocument/2006/relationships/customXml" Target="../customXml/item2.xml"/><Relationship Id="rId16" Type="http://schemas.openxmlformats.org/officeDocument/2006/relationships/hyperlink" Target="https://www.publications.scot.nhs.uk/files/cmo-2013-20.pdf" TargetMode="External"/><Relationship Id="rId20" Type="http://schemas.openxmlformats.org/officeDocument/2006/relationships/hyperlink" Target="https://ggcmedicines.org.uk/media/s2vjwylk/5-5-iptr-appeal-policy-final-dec-25-incl-link-protected.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ations.scot.nhs.uk/files/cel2010-17.pdf" TargetMode="External"/><Relationship Id="rId24" Type="http://schemas.openxmlformats.org/officeDocument/2006/relationships/hyperlink" Target="http://www.nice.org.uk/Guidance/TA/Published" TargetMode="External"/><Relationship Id="rId5" Type="http://schemas.openxmlformats.org/officeDocument/2006/relationships/styles" Target="styles.xml"/><Relationship Id="rId15" Type="http://schemas.openxmlformats.org/officeDocument/2006/relationships/hyperlink" Target="https://www.publications.scot.nhs.uk/files/cmo-2011-03.pdf" TargetMode="External"/><Relationship Id="rId23" Type="http://schemas.openxmlformats.org/officeDocument/2006/relationships/hyperlink" Target="http://www.scottishmedicines.org.uk/Home" TargetMode="External"/><Relationship Id="rId28" Type="http://schemas.openxmlformats.org/officeDocument/2006/relationships/footer" Target="footer1.xml"/><Relationship Id="rId10" Type="http://schemas.openxmlformats.org/officeDocument/2006/relationships/hyperlink" Target="https://www.publications.scot.nhs.uk/files/cmo-2013-20.pdf" TargetMode="External"/><Relationship Id="rId19" Type="http://schemas.openxmlformats.org/officeDocument/2006/relationships/hyperlink" Target="mailto:ggc.iptr.register@nhs.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ublications.scot.nhs.uk/files/cel2010-17.pdf" TargetMode="External"/><Relationship Id="rId22" Type="http://schemas.openxmlformats.org/officeDocument/2006/relationships/image" Target="media/image2.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23" ma:contentTypeDescription="Create a new document." ma:contentTypeScope="" ma:versionID="c874559b758fbc36ae0e31d92dc956b8">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b0392c72aa30833cced9a6c121d181e8"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442bde8-3b9a-412f-bffa-98aaf5709b6b">
      <UserInfo>
        <DisplayName/>
        <AccountId xsi:nil="true"/>
        <AccountType/>
      </UserInfo>
    </SharedWithUsers>
    <TaxCatchAll xmlns="4442bde8-3b9a-412f-bffa-98aaf5709b6b" xsi:nil="true"/>
    <lcf76f155ced4ddcb4097134ff3c332f xmlns="25793f7a-a37b-4e1c-b9fe-39e28de9fedb">
      <Terms xmlns="http://schemas.microsoft.com/office/infopath/2007/PartnerControls"/>
    </lcf76f155ced4ddcb4097134ff3c332f>
    <_Flow_SignoffStatus xmlns="25793f7a-a37b-4e1c-b9fe-39e28de9fedb" xsi:nil="true"/>
  </documentManagement>
</p:properties>
</file>

<file path=customXml/itemProps1.xml><?xml version="1.0" encoding="utf-8"?>
<ds:datastoreItem xmlns:ds="http://schemas.openxmlformats.org/officeDocument/2006/customXml" ds:itemID="{C5049DBF-EF0D-421E-8AA5-BB19A2593B59}">
  <ds:schemaRefs>
    <ds:schemaRef ds:uri="http://schemas.microsoft.com/sharepoint/v3/contenttype/forms"/>
  </ds:schemaRefs>
</ds:datastoreItem>
</file>

<file path=customXml/itemProps2.xml><?xml version="1.0" encoding="utf-8"?>
<ds:datastoreItem xmlns:ds="http://schemas.openxmlformats.org/officeDocument/2006/customXml" ds:itemID="{00F7328C-BA07-48F5-8F32-4F0DBC5AC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C11AF-DAEE-4AC8-9D96-5667BC6A1754}">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2696</Words>
  <Characters>14446</Characters>
  <Application>Microsoft Office Word</Application>
  <DocSecurity>8</DocSecurity>
  <Lines>309</Lines>
  <Paragraphs>107</Paragraphs>
  <ScaleCrop>false</ScaleCrop>
  <HeadingPairs>
    <vt:vector size="2" baseType="variant">
      <vt:variant>
        <vt:lpstr>Title</vt:lpstr>
      </vt:variant>
      <vt:variant>
        <vt:i4>1</vt:i4>
      </vt:variant>
    </vt:vector>
  </HeadingPairs>
  <TitlesOfParts>
    <vt:vector size="1" baseType="lpstr">
      <vt:lpstr/>
    </vt:vector>
  </TitlesOfParts>
  <Company>NHSGG&amp;C</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 Foot</dc:creator>
  <cp:keywords/>
  <cp:lastModifiedBy>Kathrin Greschner (NHS Greater Glasgow and Clyde)</cp:lastModifiedBy>
  <cp:revision>3</cp:revision>
  <cp:lastPrinted>2022-12-23T18:08:00Z</cp:lastPrinted>
  <dcterms:created xsi:type="dcterms:W3CDTF">2026-01-14T14:25:00Z</dcterms:created>
  <dcterms:modified xsi:type="dcterms:W3CDTF">2026-01-14T14:25:00Z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EntryID">
    <vt:lpwstr>000000004F63B5DCD1245A4FA96804356491C5F707006249E4B593984147BC6B074C39DC88310000000A214900006249E4B593984147BC6B074C39DC8831000001F59BD50000</vt:lpwstr>
  </property>
  <property fmtid="{D5CDD505-2E9C-101B-9397-08002B2CF9AE}" pid="4" name="_EmailStoreID0">
    <vt:lpwstr>0000000038A1BB1005E5101AA1BB08002B2A56C20000454D534D44422E444C4C00000000000000001B55FA20AA6611CD9BC800AA002FC45A0C0000004747432D45584D422D3039002F6F3D4E48534747432F6F753D4C6976696E6773746F6E20446174612043656E7472652F636E3D526563697069656E74732F636E3D666F7</vt:lpwstr>
  </property>
  <property fmtid="{D5CDD505-2E9C-101B-9397-08002B2CF9AE}" pid="5" name="_EmailStoreID1">
    <vt:lpwstr>2647275746800</vt:lpwstr>
  </property>
  <property fmtid="{D5CDD505-2E9C-101B-9397-08002B2CF9AE}" pid="6" name="ContentTypeId">
    <vt:lpwstr>0x010100B4308F779970F84C843AB55D933EB081</vt:lpwstr>
  </property>
  <property fmtid="{D5CDD505-2E9C-101B-9397-08002B2CF9AE}" pid="7" name="Order">
    <vt:r8>29700</vt:r8>
  </property>
  <property fmtid="{D5CDD505-2E9C-101B-9397-08002B2CF9AE}" pid="8" name="_ExtendedDescription">
    <vt:lpwstr/>
  </property>
  <property fmtid="{D5CDD505-2E9C-101B-9397-08002B2CF9AE}" pid="9" name="ComplianceAssetId">
    <vt:lpwstr/>
  </property>
  <property fmtid="{D5CDD505-2E9C-101B-9397-08002B2CF9AE}" pid="10" name="MediaServiceImageTags">
    <vt:lpwstr/>
  </property>
  <property fmtid="{D5CDD505-2E9C-101B-9397-08002B2CF9AE}" pid="11" name="docLang">
    <vt:lpwstr>en</vt:lpwstr>
  </property>
</Properties>
</file>