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1E" w:rsidRPr="007B3F9E" w:rsidRDefault="00644C1E" w:rsidP="001E5FF6">
      <w:pPr>
        <w:pStyle w:val="Heading2"/>
        <w:tabs>
          <w:tab w:val="left" w:pos="0"/>
        </w:tabs>
        <w:jc w:val="left"/>
        <w:rPr>
          <w:rFonts w:ascii="Arial" w:hAnsi="Arial" w:cs="Arial"/>
          <w:sz w:val="26"/>
          <w:szCs w:val="2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staffnetcomms/nhsggc/logos/logo_NHSGG&amp;C_%202_colour.jpg" style="position:absolute;margin-left:651pt;margin-top:-6.2pt;width:95.9pt;height:69.75pt;z-index:251658240;visibility:visible">
            <v:imagedata r:id="rId5" o:title=""/>
          </v:shape>
        </w:pict>
      </w:r>
      <w:r w:rsidRPr="007B3F9E">
        <w:rPr>
          <w:rFonts w:ascii="Tahoma" w:hAnsi="Tahoma" w:cs="Tahoma"/>
          <w:sz w:val="26"/>
          <w:szCs w:val="26"/>
        </w:rPr>
        <w:t>MANAGED CLINICAL NETWORK</w:t>
      </w:r>
      <w:r>
        <w:rPr>
          <w:rFonts w:ascii="Tahoma" w:hAnsi="Tahoma" w:cs="Tahoma"/>
          <w:sz w:val="26"/>
          <w:szCs w:val="26"/>
        </w:rPr>
        <w:t xml:space="preserve"> </w:t>
      </w:r>
      <w:r w:rsidRPr="007B3F9E">
        <w:rPr>
          <w:rFonts w:ascii="Tahoma" w:hAnsi="Tahoma" w:cs="Tahoma"/>
          <w:sz w:val="26"/>
          <w:szCs w:val="26"/>
        </w:rPr>
        <w:t>FOR DIABETES</w:t>
      </w:r>
    </w:p>
    <w:p w:rsidR="00644C1E" w:rsidRPr="00FA72F2" w:rsidRDefault="00644C1E" w:rsidP="00CD0668">
      <w:pPr>
        <w:rPr>
          <w:rFonts w:ascii="Arial" w:hAnsi="Arial" w:cs="Arial"/>
          <w:sz w:val="20"/>
        </w:rPr>
      </w:pPr>
      <w:r w:rsidRPr="00FA72F2">
        <w:rPr>
          <w:rFonts w:ascii="Arial" w:hAnsi="Arial" w:cs="Arial"/>
          <w:sz w:val="20"/>
        </w:rPr>
        <w:t xml:space="preserve">Lead Clinician Diabetes – Dr </w:t>
      </w:r>
      <w:r>
        <w:rPr>
          <w:rFonts w:ascii="Arial" w:hAnsi="Arial" w:cs="Arial"/>
          <w:sz w:val="20"/>
        </w:rPr>
        <w:t>Brian Kennon</w:t>
      </w:r>
    </w:p>
    <w:p w:rsidR="00644C1E" w:rsidRDefault="00644C1E" w:rsidP="00CD0668">
      <w:pPr>
        <w:rPr>
          <w:rFonts w:ascii="Arial" w:hAnsi="Arial" w:cs="Arial"/>
          <w:sz w:val="20"/>
        </w:rPr>
      </w:pPr>
      <w:hyperlink r:id="rId6" w:history="1">
        <w:r w:rsidRPr="003417F0">
          <w:rPr>
            <w:rStyle w:val="Hyperlink"/>
            <w:rFonts w:ascii="Arial" w:hAnsi="Arial" w:cs="Arial"/>
            <w:sz w:val="20"/>
          </w:rPr>
          <w:t>Brian.Kennon@nhs.net</w:t>
        </w:r>
      </w:hyperlink>
    </w:p>
    <w:p w:rsidR="00644C1E" w:rsidRDefault="00644C1E" w:rsidP="00CD0668">
      <w:pPr>
        <w:rPr>
          <w:rFonts w:ascii="Arial" w:hAnsi="Arial" w:cs="Arial"/>
          <w:sz w:val="20"/>
        </w:rPr>
      </w:pPr>
      <w:r>
        <w:rPr>
          <w:rFonts w:ascii="Arial" w:hAnsi="Arial" w:cs="Arial"/>
          <w:sz w:val="20"/>
        </w:rPr>
        <w:t>MCN Co-ordinator – Gillian Kinstrie</w:t>
      </w:r>
    </w:p>
    <w:p w:rsidR="00644C1E" w:rsidRDefault="00644C1E" w:rsidP="00CD0668">
      <w:pPr>
        <w:rPr>
          <w:rFonts w:ascii="Arial" w:hAnsi="Arial" w:cs="Arial"/>
          <w:sz w:val="20"/>
        </w:rPr>
      </w:pPr>
      <w:hyperlink r:id="rId7" w:history="1">
        <w:r w:rsidRPr="004E068A">
          <w:rPr>
            <w:rStyle w:val="Hyperlink"/>
            <w:rFonts w:ascii="Arial" w:hAnsi="Arial" w:cs="Arial"/>
            <w:sz w:val="20"/>
          </w:rPr>
          <w:t>Gillian.Kinstrie@ggc.scot.nhs.uk</w:t>
        </w:r>
      </w:hyperlink>
    </w:p>
    <w:p w:rsidR="00644C1E" w:rsidRPr="00532C1F" w:rsidRDefault="00644C1E" w:rsidP="00CD0668">
      <w:pPr>
        <w:jc w:val="center"/>
        <w:rPr>
          <w:rFonts w:ascii="Tahoma" w:hAnsi="Tahoma" w:cs="Tahoma"/>
          <w:b/>
          <w:color w:val="365F91"/>
          <w:sz w:val="32"/>
          <w:szCs w:val="32"/>
        </w:rPr>
      </w:pPr>
      <w:r w:rsidRPr="00532C1F">
        <w:rPr>
          <w:rFonts w:ascii="Tahoma" w:hAnsi="Tahoma" w:cs="Tahoma"/>
          <w:b/>
          <w:color w:val="365F91"/>
          <w:sz w:val="32"/>
          <w:szCs w:val="32"/>
        </w:rPr>
        <w:t xml:space="preserve">KEY MESSAGES </w:t>
      </w:r>
      <w:r>
        <w:rPr>
          <w:rFonts w:ascii="Tahoma" w:hAnsi="Tahoma" w:cs="Tahoma"/>
          <w:b/>
          <w:color w:val="365F91"/>
          <w:sz w:val="32"/>
          <w:szCs w:val="32"/>
        </w:rPr>
        <w:t>–</w:t>
      </w:r>
      <w:r w:rsidRPr="00532C1F">
        <w:rPr>
          <w:rFonts w:ascii="Tahoma" w:hAnsi="Tahoma" w:cs="Tahoma"/>
          <w:b/>
          <w:color w:val="365F91"/>
          <w:sz w:val="32"/>
          <w:szCs w:val="32"/>
        </w:rPr>
        <w:t xml:space="preserve"> </w:t>
      </w:r>
      <w:r>
        <w:rPr>
          <w:rFonts w:ascii="Tahoma" w:hAnsi="Tahoma" w:cs="Tahoma"/>
          <w:b/>
          <w:color w:val="365F91"/>
          <w:sz w:val="32"/>
          <w:szCs w:val="32"/>
        </w:rPr>
        <w:t xml:space="preserve">JANUARY </w:t>
      </w:r>
      <w:r w:rsidRPr="00532C1F">
        <w:rPr>
          <w:rFonts w:ascii="Tahoma" w:hAnsi="Tahoma" w:cs="Tahoma"/>
          <w:b/>
          <w:color w:val="365F91"/>
          <w:sz w:val="32"/>
          <w:szCs w:val="32"/>
        </w:rPr>
        <w:t>201</w:t>
      </w:r>
      <w:r>
        <w:rPr>
          <w:rFonts w:ascii="Tahoma" w:hAnsi="Tahoma" w:cs="Tahoma"/>
          <w:b/>
          <w:color w:val="365F91"/>
          <w:sz w:val="32"/>
          <w:szCs w:val="32"/>
        </w:rPr>
        <w:t>7</w:t>
      </w:r>
    </w:p>
    <w:p w:rsidR="00644C1E" w:rsidRPr="00532C1F" w:rsidRDefault="00644C1E" w:rsidP="00CD0668">
      <w:pPr>
        <w:jc w:val="center"/>
        <w:rPr>
          <w:rFonts w:ascii="Tahoma" w:hAnsi="Tahoma" w:cs="Tahoma"/>
          <w:b/>
          <w:color w:val="365F91"/>
        </w:rPr>
      </w:pPr>
    </w:p>
    <w:p w:rsidR="00644C1E" w:rsidRPr="009E4992" w:rsidRDefault="00644C1E" w:rsidP="00CA0280">
      <w:pPr>
        <w:tabs>
          <w:tab w:val="left" w:pos="1276"/>
        </w:tabs>
        <w:rPr>
          <w:rFonts w:ascii="Arial" w:hAnsi="Arial" w:cs="Arial"/>
          <w:b/>
          <w:color w:val="365F91"/>
        </w:rPr>
      </w:pPr>
      <w:r>
        <w:rPr>
          <w:rFonts w:ascii="Arial" w:hAnsi="Arial" w:cs="Arial"/>
          <w:b/>
          <w:color w:val="365F91"/>
        </w:rPr>
        <w:t>Better Treatment for Type 1 Diabetes</w:t>
      </w:r>
    </w:p>
    <w:p w:rsidR="00644C1E" w:rsidRDefault="00644C1E" w:rsidP="00CA0280">
      <w:pPr>
        <w:shd w:val="clear" w:color="auto" w:fill="FFFFFF"/>
        <w:rPr>
          <w:rFonts w:ascii="Arial" w:hAnsi="Arial" w:cs="Arial"/>
        </w:rPr>
      </w:pPr>
      <w:r>
        <w:rPr>
          <w:rFonts w:ascii="Arial" w:hAnsi="Arial" w:cs="Arial"/>
        </w:rPr>
        <w:t xml:space="preserve">The Scottish Government have </w:t>
      </w:r>
      <w:r w:rsidRPr="00532C1F">
        <w:rPr>
          <w:rFonts w:ascii="Arial" w:hAnsi="Arial" w:cs="Arial"/>
        </w:rPr>
        <w:t>announced a plan to improve the management of type 1 diabetes which will be backed by</w:t>
      </w:r>
      <w:r>
        <w:rPr>
          <w:rFonts w:ascii="Arial" w:hAnsi="Arial" w:cs="Arial"/>
        </w:rPr>
        <w:t xml:space="preserve"> a</w:t>
      </w:r>
      <w:r w:rsidRPr="00532C1F">
        <w:rPr>
          <w:rFonts w:ascii="Arial" w:hAnsi="Arial" w:cs="Arial"/>
        </w:rPr>
        <w:t xml:space="preserve"> £10 million investment. The additional funding will be used to increase the provision of insulin pumps and help to provide more people with continuous glucose monitoring equipment. For more information see </w:t>
      </w:r>
      <w:hyperlink r:id="rId8" w:history="1">
        <w:r w:rsidRPr="003B46BA">
          <w:rPr>
            <w:rStyle w:val="Hyperlink"/>
            <w:rFonts w:ascii="Arial" w:hAnsi="Arial" w:cs="Arial"/>
          </w:rPr>
          <w:t>http://news.gov.scot/news/better-treatment-for-type-1-diabetes</w:t>
        </w:r>
      </w:hyperlink>
    </w:p>
    <w:p w:rsidR="00644C1E" w:rsidRDefault="00644C1E" w:rsidP="00820B02">
      <w:pPr>
        <w:tabs>
          <w:tab w:val="left" w:pos="1276"/>
        </w:tabs>
        <w:rPr>
          <w:rFonts w:ascii="Arial" w:hAnsi="Arial" w:cs="Arial"/>
          <w:b/>
          <w:color w:val="365F91"/>
        </w:rPr>
      </w:pPr>
    </w:p>
    <w:p w:rsidR="00644C1E" w:rsidRPr="009E4992" w:rsidRDefault="00644C1E" w:rsidP="00820B02">
      <w:pPr>
        <w:tabs>
          <w:tab w:val="left" w:pos="1276"/>
        </w:tabs>
        <w:rPr>
          <w:rFonts w:ascii="Arial" w:hAnsi="Arial" w:cs="Arial"/>
          <w:b/>
          <w:color w:val="365F91"/>
        </w:rPr>
      </w:pPr>
      <w:r>
        <w:rPr>
          <w:rFonts w:ascii="Arial" w:hAnsi="Arial" w:cs="Arial"/>
          <w:b/>
          <w:color w:val="365F91"/>
        </w:rPr>
        <w:t>Diabetes Staff Education</w:t>
      </w:r>
    </w:p>
    <w:p w:rsidR="00644C1E" w:rsidRDefault="00644C1E" w:rsidP="00CA0280">
      <w:r w:rsidRPr="009E4992">
        <w:rPr>
          <w:rFonts w:ascii="Arial" w:hAnsi="Arial" w:cs="Arial"/>
        </w:rPr>
        <w:t>Booking</w:t>
      </w:r>
      <w:r>
        <w:rPr>
          <w:rFonts w:ascii="Arial" w:hAnsi="Arial" w:cs="Arial"/>
        </w:rPr>
        <w:t>s</w:t>
      </w:r>
      <w:r w:rsidRPr="009E4992">
        <w:rPr>
          <w:rFonts w:ascii="Arial" w:hAnsi="Arial" w:cs="Arial"/>
        </w:rPr>
        <w:t xml:space="preserve"> are now being taken for the two day diabetes staff education courses which are taking place in 2017. The course covers a variety of topics including </w:t>
      </w:r>
      <w:r w:rsidRPr="009E4992">
        <w:rPr>
          <w:rFonts w:ascii="Arial" w:hAnsi="Arial" w:cs="Arial"/>
          <w:bCs/>
        </w:rPr>
        <w:t>Diet and Lifestyle, Injectable Therapies, Oral Medications, Patient Education, Monitoring Diabetes, Diabetes Complications</w:t>
      </w:r>
      <w:r w:rsidRPr="009E4992">
        <w:rPr>
          <w:rFonts w:ascii="Arial" w:hAnsi="Arial" w:cs="Arial"/>
        </w:rPr>
        <w:t xml:space="preserve">. Please see the website for further information and details on how to book a space: </w:t>
      </w:r>
    </w:p>
    <w:p w:rsidR="00644C1E" w:rsidRDefault="00644C1E" w:rsidP="00CA0280">
      <w:pPr>
        <w:autoSpaceDE w:val="0"/>
        <w:autoSpaceDN w:val="0"/>
      </w:pPr>
      <w:hyperlink r:id="rId9" w:history="1">
        <w:r w:rsidRPr="00CA0280">
          <w:rPr>
            <w:rStyle w:val="Hyperlink"/>
            <w:rFonts w:ascii="Arial" w:hAnsi="Arial" w:cs="Arial"/>
          </w:rPr>
          <w:t>http://www.nhsggc.org.uk/about-us/professional-support-sites/heart-stroke-diabetes-rheumatology-and-chronic-pain-mcns/diabetes/diabetes-education/staff-education-and-training/</w:t>
        </w:r>
      </w:hyperlink>
    </w:p>
    <w:p w:rsidR="00644C1E" w:rsidRPr="00CA0280" w:rsidRDefault="00644C1E" w:rsidP="00CA0280">
      <w:pPr>
        <w:autoSpaceDE w:val="0"/>
        <w:autoSpaceDN w:val="0"/>
        <w:rPr>
          <w:rFonts w:ascii="Arial" w:hAnsi="Arial" w:cs="Arial"/>
        </w:rPr>
      </w:pPr>
    </w:p>
    <w:p w:rsidR="00644C1E" w:rsidRPr="009E4992" w:rsidRDefault="00644C1E" w:rsidP="00820B02">
      <w:pPr>
        <w:tabs>
          <w:tab w:val="left" w:pos="1276"/>
        </w:tabs>
        <w:rPr>
          <w:rFonts w:ascii="Arial" w:hAnsi="Arial" w:cs="Arial"/>
        </w:rPr>
      </w:pPr>
      <w:r w:rsidRPr="009E4992">
        <w:rPr>
          <w:rFonts w:ascii="Arial" w:hAnsi="Arial" w:cs="Arial"/>
        </w:rPr>
        <w:t>In addition to this, staff can further t</w:t>
      </w:r>
      <w:r>
        <w:rPr>
          <w:rFonts w:ascii="Arial" w:hAnsi="Arial" w:cs="Arial"/>
        </w:rPr>
        <w:t>h</w:t>
      </w:r>
      <w:r w:rsidRPr="009E4992">
        <w:rPr>
          <w:rFonts w:ascii="Arial" w:hAnsi="Arial" w:cs="Arial"/>
        </w:rPr>
        <w:t>eir knowl</w:t>
      </w:r>
      <w:r>
        <w:rPr>
          <w:rFonts w:ascii="Arial" w:hAnsi="Arial" w:cs="Arial"/>
        </w:rPr>
        <w:t>e</w:t>
      </w:r>
      <w:r w:rsidRPr="009E4992">
        <w:rPr>
          <w:rFonts w:ascii="Arial" w:hAnsi="Arial" w:cs="Arial"/>
        </w:rPr>
        <w:t>d</w:t>
      </w:r>
      <w:r>
        <w:rPr>
          <w:rFonts w:ascii="Arial" w:hAnsi="Arial" w:cs="Arial"/>
        </w:rPr>
        <w:t>g</w:t>
      </w:r>
      <w:r w:rsidRPr="009E4992">
        <w:rPr>
          <w:rFonts w:ascii="Arial" w:hAnsi="Arial" w:cs="Arial"/>
        </w:rPr>
        <w:t>e in diabetes care by unde</w:t>
      </w:r>
      <w:r>
        <w:rPr>
          <w:rFonts w:ascii="Arial" w:hAnsi="Arial" w:cs="Arial"/>
        </w:rPr>
        <w:t>rtaking</w:t>
      </w:r>
      <w:r w:rsidRPr="009E4992">
        <w:rPr>
          <w:rFonts w:ascii="Arial" w:hAnsi="Arial" w:cs="Arial"/>
        </w:rPr>
        <w:t xml:space="preserve"> the diabetes specific module</w:t>
      </w:r>
      <w:r>
        <w:rPr>
          <w:rFonts w:ascii="Arial" w:hAnsi="Arial" w:cs="Arial"/>
        </w:rPr>
        <w:t>s</w:t>
      </w:r>
      <w:r w:rsidRPr="009E4992">
        <w:rPr>
          <w:rFonts w:ascii="Arial" w:hAnsi="Arial" w:cs="Arial"/>
        </w:rPr>
        <w:t xml:space="preserve"> which are available on LearnPro.</w:t>
      </w:r>
      <w:r>
        <w:rPr>
          <w:rFonts w:ascii="Arial" w:hAnsi="Arial" w:cs="Arial"/>
        </w:rPr>
        <w:t xml:space="preserve"> A Diabetes education session for staff working within the inpatient mental health setting is also being piloted in March 2017. </w:t>
      </w:r>
    </w:p>
    <w:p w:rsidR="00644C1E" w:rsidRDefault="00644C1E" w:rsidP="00820B02">
      <w:pPr>
        <w:tabs>
          <w:tab w:val="left" w:pos="1276"/>
        </w:tabs>
        <w:rPr>
          <w:rFonts w:ascii="Arial" w:hAnsi="Arial" w:cs="Arial"/>
          <w:b/>
          <w:color w:val="365F91"/>
        </w:rPr>
      </w:pPr>
    </w:p>
    <w:p w:rsidR="00644C1E" w:rsidRPr="009E4992" w:rsidRDefault="00644C1E" w:rsidP="0022147E">
      <w:pPr>
        <w:tabs>
          <w:tab w:val="left" w:pos="1276"/>
        </w:tabs>
        <w:rPr>
          <w:rFonts w:ascii="Arial" w:hAnsi="Arial" w:cs="Arial"/>
          <w:b/>
          <w:color w:val="365F91"/>
        </w:rPr>
      </w:pPr>
      <w:r w:rsidRPr="009E4992">
        <w:rPr>
          <w:rFonts w:ascii="Arial" w:hAnsi="Arial" w:cs="Arial"/>
          <w:b/>
          <w:color w:val="365F91"/>
        </w:rPr>
        <w:t>My Diabetes, My Way</w:t>
      </w:r>
      <w:r>
        <w:rPr>
          <w:rFonts w:ascii="Arial" w:hAnsi="Arial" w:cs="Arial"/>
          <w:b/>
          <w:color w:val="365F91"/>
        </w:rPr>
        <w:t xml:space="preserve"> (MDMW)</w:t>
      </w:r>
    </w:p>
    <w:p w:rsidR="00644C1E" w:rsidRDefault="00644C1E" w:rsidP="0022147E">
      <w:pPr>
        <w:rPr>
          <w:rFonts w:ascii="Arial" w:hAnsi="Arial" w:cs="Arial"/>
          <w:color w:val="000000"/>
        </w:rPr>
      </w:pPr>
      <w:r>
        <w:rPr>
          <w:rFonts w:ascii="Arial" w:hAnsi="Arial" w:cs="Arial"/>
          <w:color w:val="000000"/>
        </w:rPr>
        <w:t>My Diabetes My Way (</w:t>
      </w:r>
      <w:hyperlink r:id="rId10" w:tgtFrame="_blank" w:tooltip="http://www.mydiabetesmyway.scot.nhs.uk/" w:history="1">
        <w:r>
          <w:rPr>
            <w:rStyle w:val="Hyperlink"/>
            <w:rFonts w:ascii="Arial" w:hAnsi="Arial" w:cs="Arial"/>
          </w:rPr>
          <w:t>www.mydiabetesmyway.scot.nhs.uk</w:t>
        </w:r>
      </w:hyperlink>
      <w:r>
        <w:rPr>
          <w:rFonts w:ascii="Arial" w:hAnsi="Arial" w:cs="Arial"/>
          <w:color w:val="000000"/>
        </w:rPr>
        <w:t xml:space="preserve">) is now used by over 10,000 patients who access their records online to help them manage their diabetes. Recent analyses have shown that measures such as HbA1c, weight and blood pressure improve following interaction with MDMW and that patients report improved knowledge and motivation. </w:t>
      </w:r>
    </w:p>
    <w:p w:rsidR="00644C1E" w:rsidRDefault="00644C1E" w:rsidP="0022147E">
      <w:pPr>
        <w:rPr>
          <w:rFonts w:ascii="Arial" w:hAnsi="Arial" w:cs="Arial"/>
          <w:color w:val="000000"/>
        </w:rPr>
      </w:pPr>
    </w:p>
    <w:p w:rsidR="00644C1E" w:rsidRDefault="00644C1E" w:rsidP="0022147E">
      <w:pPr>
        <w:rPr>
          <w:rFonts w:ascii="Arial" w:hAnsi="Arial" w:cs="Arial"/>
          <w:color w:val="0000FF"/>
        </w:rPr>
      </w:pPr>
      <w:r>
        <w:rPr>
          <w:rFonts w:ascii="Arial" w:hAnsi="Arial" w:cs="Arial"/>
          <w:color w:val="000000"/>
        </w:rPr>
        <w:t>If you wish to receive supplies of leaflets and business card to support the promotion of MDMW or would like the team to work with you to support increased uptake within your practice please email </w:t>
      </w:r>
      <w:hyperlink r:id="rId11" w:tooltip="mailto:mydiabetesmyway@nhs.net" w:history="1">
        <w:r>
          <w:rPr>
            <w:rStyle w:val="Hyperlink"/>
            <w:rFonts w:ascii="Arial" w:hAnsi="Arial" w:cs="Arial"/>
          </w:rPr>
          <w:t>mydiabetesmyway@nhs.net</w:t>
        </w:r>
      </w:hyperlink>
      <w:r>
        <w:rPr>
          <w:rFonts w:ascii="Arial" w:hAnsi="Arial" w:cs="Arial"/>
          <w:color w:val="000000"/>
        </w:rPr>
        <w:t xml:space="preserve">. To find out how users of SCI-Diabetes can register patients for MDMW directly, please see the following video guide: </w:t>
      </w:r>
      <w:hyperlink r:id="rId12" w:tgtFrame="_blank" w:tooltip="https://youtu.be/jN0DleFoUJU" w:history="1">
        <w:r>
          <w:rPr>
            <w:rStyle w:val="Hyperlink"/>
            <w:rFonts w:ascii="Arial" w:hAnsi="Arial" w:cs="Arial"/>
          </w:rPr>
          <w:t>https://youtu.be/jN0DleFoUJU</w:t>
        </w:r>
      </w:hyperlink>
      <w:r>
        <w:rPr>
          <w:rFonts w:ascii="Arial" w:hAnsi="Arial" w:cs="Arial"/>
          <w:color w:val="0000FF"/>
        </w:rPr>
        <w:t xml:space="preserve">. </w:t>
      </w:r>
    </w:p>
    <w:p w:rsidR="00644C1E" w:rsidRDefault="00644C1E" w:rsidP="0022147E">
      <w:pPr>
        <w:rPr>
          <w:rFonts w:ascii="Arial" w:hAnsi="Arial" w:cs="Arial"/>
          <w:color w:val="0000FF"/>
        </w:rPr>
      </w:pPr>
    </w:p>
    <w:p w:rsidR="00644C1E" w:rsidRDefault="00644C1E" w:rsidP="0022147E">
      <w:pPr>
        <w:rPr>
          <w:color w:val="000000"/>
        </w:rPr>
      </w:pPr>
      <w:r w:rsidRPr="0022147E">
        <w:rPr>
          <w:rFonts w:ascii="Arial" w:hAnsi="Arial" w:cs="Arial"/>
        </w:rPr>
        <w:t>Quarterly reports will continue to be issued showing MDMW registrations and levels of activity associated with all GP surgeries across NHS</w:t>
      </w:r>
      <w:r>
        <w:rPr>
          <w:rFonts w:ascii="Arial" w:hAnsi="Arial" w:cs="Arial"/>
          <w:color w:val="000000"/>
        </w:rPr>
        <w:t xml:space="preserve"> Greater Glasgow and </w:t>
      </w:r>
      <w:smartTag w:uri="urn:schemas-microsoft-com:office:smarttags" w:element="place">
        <w:r>
          <w:rPr>
            <w:rFonts w:ascii="Arial" w:hAnsi="Arial" w:cs="Arial"/>
            <w:color w:val="000000"/>
          </w:rPr>
          <w:t>Clyde</w:t>
        </w:r>
      </w:smartTag>
      <w:r>
        <w:rPr>
          <w:rFonts w:ascii="Arial" w:hAnsi="Arial" w:cs="Arial"/>
          <w:color w:val="000000"/>
        </w:rPr>
        <w:t xml:space="preserve"> to support increased awareness and uptake.</w:t>
      </w:r>
    </w:p>
    <w:p w:rsidR="00644C1E" w:rsidRDefault="00644C1E" w:rsidP="00820B02">
      <w:pPr>
        <w:tabs>
          <w:tab w:val="left" w:pos="1276"/>
        </w:tabs>
        <w:rPr>
          <w:rFonts w:ascii="Arial" w:hAnsi="Arial" w:cs="Arial"/>
          <w:b/>
          <w:color w:val="365F91"/>
        </w:rPr>
      </w:pPr>
    </w:p>
    <w:p w:rsidR="00644C1E" w:rsidRDefault="00644C1E" w:rsidP="005E0F10">
      <w:pPr>
        <w:tabs>
          <w:tab w:val="left" w:pos="1276"/>
        </w:tabs>
        <w:rPr>
          <w:rFonts w:ascii="Arial" w:hAnsi="Arial" w:cs="Arial"/>
          <w:b/>
          <w:color w:val="365F91"/>
        </w:rPr>
      </w:pPr>
    </w:p>
    <w:p w:rsidR="00644C1E" w:rsidRDefault="00644C1E" w:rsidP="005E0F10">
      <w:pPr>
        <w:tabs>
          <w:tab w:val="left" w:pos="1276"/>
        </w:tabs>
        <w:rPr>
          <w:rFonts w:ascii="Arial" w:hAnsi="Arial" w:cs="Arial"/>
          <w:b/>
          <w:color w:val="365F91"/>
        </w:rPr>
      </w:pPr>
    </w:p>
    <w:p w:rsidR="00644C1E" w:rsidRDefault="00644C1E" w:rsidP="005E0F10">
      <w:pPr>
        <w:tabs>
          <w:tab w:val="left" w:pos="1276"/>
        </w:tabs>
        <w:rPr>
          <w:rFonts w:ascii="Arial" w:hAnsi="Arial" w:cs="Arial"/>
          <w:b/>
          <w:color w:val="365F91"/>
        </w:rPr>
      </w:pPr>
    </w:p>
    <w:p w:rsidR="00644C1E" w:rsidRPr="005E0F10" w:rsidRDefault="00644C1E" w:rsidP="005E0F10">
      <w:pPr>
        <w:tabs>
          <w:tab w:val="left" w:pos="1276"/>
        </w:tabs>
        <w:rPr>
          <w:rFonts w:ascii="Arial" w:hAnsi="Arial" w:cs="Arial"/>
          <w:b/>
          <w:color w:val="0070C0"/>
        </w:rPr>
      </w:pPr>
      <w:r>
        <w:rPr>
          <w:rFonts w:ascii="Arial" w:hAnsi="Arial" w:cs="Arial"/>
          <w:b/>
          <w:color w:val="365F91"/>
        </w:rPr>
        <w:t>Alternatives to INSULIN GLARGINE (LANTUS</w:t>
      </w:r>
      <w:r w:rsidRPr="005E0F10">
        <w:rPr>
          <w:rFonts w:ascii="Arial" w:hAnsi="Arial" w:cs="Arial"/>
          <w:bCs/>
          <w:color w:val="365F91"/>
        </w:rPr>
        <w:t>®</w:t>
      </w:r>
      <w:r>
        <w:rPr>
          <w:rFonts w:ascii="Arial" w:hAnsi="Arial" w:cs="Arial"/>
          <w:b/>
          <w:color w:val="365F91"/>
        </w:rPr>
        <w:t>)</w:t>
      </w:r>
    </w:p>
    <w:p w:rsidR="00644C1E" w:rsidRPr="005E0F10" w:rsidRDefault="00644C1E" w:rsidP="005E0F10">
      <w:pPr>
        <w:rPr>
          <w:rFonts w:ascii="Arial" w:hAnsi="Arial" w:cs="Arial"/>
        </w:rPr>
      </w:pPr>
      <w:r w:rsidRPr="005E0F10">
        <w:rPr>
          <w:rFonts w:ascii="Arial" w:hAnsi="Arial" w:cs="Arial"/>
          <w:bCs/>
        </w:rPr>
        <w:t xml:space="preserve">The patent for insulin glargine (Lantus®) has expired. </w:t>
      </w:r>
      <w:r w:rsidRPr="005E0F10">
        <w:rPr>
          <w:rFonts w:ascii="Arial" w:hAnsi="Arial" w:cs="Arial"/>
        </w:rPr>
        <w:t xml:space="preserve">Abasalagar® is the first biosimilar insulin glargine available in the </w:t>
      </w:r>
      <w:smartTag w:uri="urn:schemas-microsoft-com:office:smarttags" w:element="country-region">
        <w:smartTag w:uri="urn:schemas-microsoft-com:office:smarttags" w:element="place">
          <w:r w:rsidRPr="005E0F10">
            <w:rPr>
              <w:rFonts w:ascii="Arial" w:hAnsi="Arial" w:cs="Arial"/>
            </w:rPr>
            <w:t>UK</w:t>
          </w:r>
        </w:smartTag>
      </w:smartTag>
      <w:r w:rsidRPr="005E0F10">
        <w:rPr>
          <w:rFonts w:ascii="Arial" w:hAnsi="Arial" w:cs="Arial"/>
        </w:rPr>
        <w:t>. It provides a cost effective alternative at 15% less than the acquisition cost of Lantus</w:t>
      </w:r>
      <w:r w:rsidRPr="005E0F10">
        <w:rPr>
          <w:rFonts w:ascii="Arial" w:hAnsi="Arial" w:cs="Arial"/>
          <w:bCs/>
        </w:rPr>
        <w:t>®.</w:t>
      </w:r>
    </w:p>
    <w:p w:rsidR="00644C1E" w:rsidRPr="005E0F10" w:rsidRDefault="00644C1E" w:rsidP="005E0F10">
      <w:pPr>
        <w:pStyle w:val="NormalWeb"/>
        <w:spacing w:before="0" w:beforeAutospacing="0" w:after="0" w:afterAutospacing="0"/>
        <w:rPr>
          <w:rFonts w:ascii="Arial" w:hAnsi="Arial" w:cs="Arial"/>
        </w:rPr>
      </w:pPr>
    </w:p>
    <w:p w:rsidR="00644C1E" w:rsidRPr="005E0F10" w:rsidRDefault="00644C1E" w:rsidP="005E0F10">
      <w:pPr>
        <w:pStyle w:val="NormalWeb"/>
        <w:spacing w:before="0" w:beforeAutospacing="0" w:after="0" w:afterAutospacing="0"/>
        <w:rPr>
          <w:rFonts w:ascii="Arial" w:hAnsi="Arial" w:cs="Arial"/>
        </w:rPr>
      </w:pPr>
      <w:r w:rsidRPr="005E0F10">
        <w:rPr>
          <w:rFonts w:ascii="Arial" w:hAnsi="Arial" w:cs="Arial"/>
        </w:rPr>
        <w:t xml:space="preserve">Insulin glargine is on the </w:t>
      </w:r>
      <w:hyperlink r:id="rId13" w:history="1">
        <w:r w:rsidRPr="005E0F10">
          <w:rPr>
            <w:rStyle w:val="Hyperlink"/>
            <w:rFonts w:ascii="Arial" w:hAnsi="Arial" w:cs="Arial"/>
          </w:rPr>
          <w:t>total formulary</w:t>
        </w:r>
      </w:hyperlink>
      <w:r w:rsidRPr="005E0F10">
        <w:rPr>
          <w:rFonts w:ascii="Arial" w:hAnsi="Arial" w:cs="Arial"/>
        </w:rPr>
        <w:t xml:space="preserve">. It is indicated for: </w:t>
      </w:r>
    </w:p>
    <w:p w:rsidR="00644C1E" w:rsidRPr="005E0F10" w:rsidRDefault="00644C1E" w:rsidP="005E0F10">
      <w:pPr>
        <w:pStyle w:val="NormalWeb"/>
        <w:spacing w:before="0" w:beforeAutospacing="0" w:after="0" w:afterAutospacing="0"/>
        <w:rPr>
          <w:rFonts w:ascii="Arial" w:hAnsi="Arial" w:cs="Arial"/>
        </w:rPr>
      </w:pPr>
    </w:p>
    <w:p w:rsidR="00644C1E" w:rsidRPr="005E0F10" w:rsidRDefault="00644C1E" w:rsidP="005E0F10">
      <w:pPr>
        <w:pStyle w:val="NormalWeb"/>
        <w:numPr>
          <w:ilvl w:val="0"/>
          <w:numId w:val="2"/>
        </w:numPr>
        <w:spacing w:before="0" w:beforeAutospacing="0" w:after="0" w:afterAutospacing="0"/>
        <w:rPr>
          <w:rFonts w:ascii="Arial" w:hAnsi="Arial" w:cs="Arial"/>
          <w:i/>
          <w:color w:val="0C0C0C"/>
        </w:rPr>
      </w:pPr>
      <w:r w:rsidRPr="005E0F10">
        <w:rPr>
          <w:rFonts w:ascii="Arial" w:hAnsi="Arial" w:cs="Arial"/>
          <w:i/>
          <w:color w:val="0C0C0C"/>
        </w:rPr>
        <w:t xml:space="preserve">patients with type 1 diabetes who are at risk of or experience unacceptable frequency and/or severity of nocturnal hypoglycaemia on attempting to achieve better hypoglycaemic control during treatment with established insulins. It is also acceptable as a once daily insulin therapy for patients who require carer administration of their insulin. </w:t>
      </w:r>
    </w:p>
    <w:p w:rsidR="00644C1E" w:rsidRPr="005E0F10" w:rsidRDefault="00644C1E" w:rsidP="005E0F10">
      <w:pPr>
        <w:pStyle w:val="NormalWeb"/>
        <w:spacing w:before="0" w:beforeAutospacing="0" w:after="0" w:afterAutospacing="0"/>
        <w:rPr>
          <w:rFonts w:ascii="Arial" w:hAnsi="Arial" w:cs="Arial"/>
          <w:i/>
          <w:color w:val="0C0C0C"/>
        </w:rPr>
      </w:pPr>
    </w:p>
    <w:p w:rsidR="00644C1E" w:rsidRPr="005E0F10" w:rsidRDefault="00644C1E" w:rsidP="005E0F10">
      <w:pPr>
        <w:pStyle w:val="NormalWeb"/>
        <w:numPr>
          <w:ilvl w:val="0"/>
          <w:numId w:val="2"/>
        </w:numPr>
        <w:spacing w:before="0" w:beforeAutospacing="0" w:after="0" w:afterAutospacing="0"/>
        <w:rPr>
          <w:rFonts w:ascii="Arial" w:hAnsi="Arial" w:cs="Arial"/>
          <w:i/>
        </w:rPr>
      </w:pPr>
      <w:r w:rsidRPr="005E0F10">
        <w:rPr>
          <w:rFonts w:ascii="Arial" w:hAnsi="Arial" w:cs="Arial"/>
          <w:i/>
          <w:color w:val="0C0C0C"/>
        </w:rPr>
        <w:t>patients with type 2 diabetes who suffer from recurrent episodes of hypoglycemia on isophane insulin (NPH) or require assistance with their insulin injections.</w:t>
      </w:r>
    </w:p>
    <w:p w:rsidR="00644C1E" w:rsidRPr="005E0F10" w:rsidRDefault="00644C1E" w:rsidP="005E0F10">
      <w:pPr>
        <w:rPr>
          <w:rFonts w:ascii="Arial" w:hAnsi="Arial" w:cs="Arial"/>
        </w:rPr>
      </w:pPr>
    </w:p>
    <w:p w:rsidR="00644C1E" w:rsidRPr="005E0F10" w:rsidRDefault="00644C1E" w:rsidP="005E0F10">
      <w:pPr>
        <w:rPr>
          <w:rFonts w:ascii="Arial" w:hAnsi="Arial" w:cs="Arial"/>
        </w:rPr>
      </w:pPr>
      <w:r w:rsidRPr="005E0F10">
        <w:rPr>
          <w:rFonts w:ascii="Arial" w:hAnsi="Arial" w:cs="Arial"/>
          <w:b/>
        </w:rPr>
        <w:t>Where insulin glargine is being considered as an option the biosimilar Abasalagar</w:t>
      </w:r>
      <w:r w:rsidRPr="00E76B8E">
        <w:rPr>
          <w:rFonts w:ascii="Arial" w:hAnsi="Arial" w:cs="Arial"/>
          <w:b/>
        </w:rPr>
        <w:t>®</w:t>
      </w:r>
      <w:r w:rsidRPr="005E0F10">
        <w:rPr>
          <w:rFonts w:ascii="Arial" w:hAnsi="Arial" w:cs="Arial"/>
          <w:b/>
        </w:rPr>
        <w:t xml:space="preserve"> is recommended as the preferred choice due to the potential for considerable cost savings. </w:t>
      </w:r>
      <w:r w:rsidRPr="005E0F10">
        <w:rPr>
          <w:rFonts w:ascii="Arial" w:hAnsi="Arial" w:cs="Arial"/>
          <w:bCs/>
        </w:rPr>
        <w:t>The two products have similar actions, but should not be regarded as interchangeable. There is a potential for hypoglycaemia if patients are inadvertently switched between brands at the same dose.</w:t>
      </w:r>
      <w:r>
        <w:rPr>
          <w:rFonts w:ascii="Arial" w:hAnsi="Arial" w:cs="Arial"/>
          <w:bCs/>
        </w:rPr>
        <w:t xml:space="preserve"> </w:t>
      </w:r>
      <w:r w:rsidRPr="005E0F10">
        <w:rPr>
          <w:rFonts w:ascii="Arial" w:hAnsi="Arial" w:cs="Arial"/>
        </w:rPr>
        <w:t>As with all insulin therapy and biosimilars it is recommended to prescribe by brand and to use the brand in all communications with the GP practice.</w:t>
      </w:r>
    </w:p>
    <w:p w:rsidR="00644C1E" w:rsidRPr="005E0F10" w:rsidRDefault="00644C1E" w:rsidP="005E0F10">
      <w:pPr>
        <w:rPr>
          <w:rFonts w:ascii="Arial" w:hAnsi="Arial" w:cs="Arial"/>
        </w:rPr>
      </w:pPr>
    </w:p>
    <w:p w:rsidR="00644C1E" w:rsidRPr="005E0F10" w:rsidRDefault="00644C1E" w:rsidP="005E0F10">
      <w:pPr>
        <w:rPr>
          <w:rFonts w:ascii="Arial" w:hAnsi="Arial" w:cs="Arial"/>
        </w:rPr>
      </w:pPr>
      <w:r w:rsidRPr="005E0F10">
        <w:rPr>
          <w:rFonts w:ascii="Arial" w:hAnsi="Arial" w:cs="Arial"/>
          <w:b/>
        </w:rPr>
        <w:t>Isophane insulin (NPH) remains the first line insulin choice for those patients with Type 2 Diabetes who require initial insulin intensification.</w:t>
      </w:r>
    </w:p>
    <w:p w:rsidR="00644C1E" w:rsidRPr="005E0F10" w:rsidRDefault="00644C1E" w:rsidP="005E0F10">
      <w:pPr>
        <w:rPr>
          <w:rFonts w:ascii="Arial" w:hAnsi="Arial" w:cs="Arial"/>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6663"/>
        <w:gridCol w:w="2693"/>
      </w:tblGrid>
      <w:tr w:rsidR="00644C1E" w:rsidRPr="00CA0280" w:rsidTr="00CA0280">
        <w:tc>
          <w:tcPr>
            <w:tcW w:w="12333" w:type="dxa"/>
            <w:gridSpan w:val="2"/>
            <w:shd w:val="pct5" w:color="auto" w:fill="FFFFFF"/>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b/>
                <w:bCs/>
                <w:sz w:val="20"/>
                <w:szCs w:val="20"/>
              </w:rPr>
              <w:t xml:space="preserve">Long-acting insulin analogues </w:t>
            </w:r>
          </w:p>
        </w:tc>
        <w:tc>
          <w:tcPr>
            <w:tcW w:w="2693" w:type="dxa"/>
            <w:shd w:val="pct5" w:color="auto" w:fill="FFFFFF"/>
          </w:tcPr>
          <w:p w:rsidR="00644C1E" w:rsidRPr="00CA0280" w:rsidRDefault="00644C1E" w:rsidP="005E0F10">
            <w:pPr>
              <w:autoSpaceDE w:val="0"/>
              <w:autoSpaceDN w:val="0"/>
              <w:adjustRightInd w:val="0"/>
              <w:jc w:val="center"/>
              <w:rPr>
                <w:rFonts w:ascii="Arial" w:hAnsi="Arial" w:cs="Arial"/>
                <w:b/>
                <w:bCs/>
                <w:sz w:val="20"/>
                <w:szCs w:val="20"/>
              </w:rPr>
            </w:pPr>
            <w:r w:rsidRPr="00CA0280">
              <w:rPr>
                <w:rFonts w:ascii="Arial" w:hAnsi="Arial" w:cs="Arial"/>
                <w:b/>
                <w:bCs/>
                <w:sz w:val="20"/>
                <w:szCs w:val="20"/>
              </w:rPr>
              <w:t>Pack of 5</w:t>
            </w:r>
          </w:p>
        </w:tc>
      </w:tr>
      <w:tr w:rsidR="00644C1E" w:rsidRPr="00CA0280" w:rsidTr="00CA0280">
        <w:tc>
          <w:tcPr>
            <w:tcW w:w="5670"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Insulin detemir (Levemir®) (Novo Nordisk)</w:t>
            </w:r>
          </w:p>
        </w:tc>
        <w:tc>
          <w:tcPr>
            <w:tcW w:w="6663"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3 ml cartridge for NovoPen® 4 or NovoPen Echo® devices</w:t>
            </w:r>
          </w:p>
        </w:tc>
        <w:tc>
          <w:tcPr>
            <w:tcW w:w="2693" w:type="dxa"/>
          </w:tcPr>
          <w:p w:rsidR="00644C1E" w:rsidRPr="00CA0280" w:rsidRDefault="00644C1E" w:rsidP="005E0F10">
            <w:pPr>
              <w:autoSpaceDE w:val="0"/>
              <w:autoSpaceDN w:val="0"/>
              <w:adjustRightInd w:val="0"/>
              <w:jc w:val="center"/>
              <w:rPr>
                <w:rFonts w:ascii="Arial" w:hAnsi="Arial" w:cs="Arial"/>
                <w:bCs/>
                <w:sz w:val="20"/>
                <w:szCs w:val="20"/>
              </w:rPr>
            </w:pPr>
            <w:r w:rsidRPr="00CA0280">
              <w:rPr>
                <w:rFonts w:ascii="Arial" w:hAnsi="Arial" w:cs="Arial"/>
                <w:bCs/>
                <w:sz w:val="20"/>
                <w:szCs w:val="20"/>
              </w:rPr>
              <w:t>£42.00</w:t>
            </w:r>
          </w:p>
        </w:tc>
      </w:tr>
      <w:tr w:rsidR="00644C1E" w:rsidRPr="00CA0280" w:rsidTr="00CA0280">
        <w:tc>
          <w:tcPr>
            <w:tcW w:w="5670" w:type="dxa"/>
          </w:tcPr>
          <w:p w:rsidR="00644C1E" w:rsidRPr="00CA0280" w:rsidRDefault="00644C1E" w:rsidP="005E0F10">
            <w:pPr>
              <w:autoSpaceDE w:val="0"/>
              <w:autoSpaceDN w:val="0"/>
              <w:adjustRightInd w:val="0"/>
              <w:rPr>
                <w:rFonts w:ascii="Arial" w:hAnsi="Arial" w:cs="Arial"/>
                <w:b/>
                <w:bCs/>
                <w:sz w:val="20"/>
                <w:szCs w:val="20"/>
                <w:lang w:val="fr-FR"/>
              </w:rPr>
            </w:pPr>
            <w:r w:rsidRPr="00CA0280">
              <w:rPr>
                <w:rFonts w:ascii="Arial" w:hAnsi="Arial" w:cs="Arial"/>
                <w:sz w:val="20"/>
                <w:szCs w:val="20"/>
                <w:lang w:val="fr-FR"/>
              </w:rPr>
              <w:t xml:space="preserve">Insulin glargine 100 units /ml (Lantus®) (Sanofi-Aventis) </w:t>
            </w:r>
          </w:p>
        </w:tc>
        <w:tc>
          <w:tcPr>
            <w:tcW w:w="6663"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3 ml cartridge for ClickSTAR® or Autopen 24®</w:t>
            </w:r>
          </w:p>
        </w:tc>
        <w:tc>
          <w:tcPr>
            <w:tcW w:w="2693" w:type="dxa"/>
          </w:tcPr>
          <w:p w:rsidR="00644C1E" w:rsidRPr="00CA0280" w:rsidRDefault="00644C1E" w:rsidP="005E0F10">
            <w:pPr>
              <w:autoSpaceDE w:val="0"/>
              <w:autoSpaceDN w:val="0"/>
              <w:adjustRightInd w:val="0"/>
              <w:jc w:val="center"/>
              <w:rPr>
                <w:rFonts w:ascii="Arial" w:hAnsi="Arial" w:cs="Arial"/>
                <w:b/>
                <w:bCs/>
                <w:sz w:val="20"/>
                <w:szCs w:val="20"/>
              </w:rPr>
            </w:pPr>
            <w:r w:rsidRPr="00CA0280">
              <w:rPr>
                <w:rFonts w:ascii="Arial" w:hAnsi="Arial" w:cs="Arial"/>
                <w:sz w:val="20"/>
                <w:szCs w:val="20"/>
              </w:rPr>
              <w:t>£41.50</w:t>
            </w:r>
          </w:p>
        </w:tc>
      </w:tr>
      <w:tr w:rsidR="00644C1E" w:rsidRPr="00CA0280" w:rsidTr="00CA0280">
        <w:tc>
          <w:tcPr>
            <w:tcW w:w="5670" w:type="dxa"/>
          </w:tcPr>
          <w:p w:rsidR="00644C1E" w:rsidRPr="00CA0280" w:rsidRDefault="00644C1E" w:rsidP="005E0F10">
            <w:pPr>
              <w:rPr>
                <w:rFonts w:ascii="Arial" w:hAnsi="Arial" w:cs="Arial"/>
                <w:sz w:val="20"/>
                <w:szCs w:val="20"/>
              </w:rPr>
            </w:pPr>
            <w:r w:rsidRPr="00CA0280">
              <w:rPr>
                <w:rFonts w:ascii="Arial" w:hAnsi="Arial" w:cs="Arial"/>
                <w:sz w:val="20"/>
                <w:szCs w:val="20"/>
              </w:rPr>
              <w:t xml:space="preserve">Insulin glargine 100 units /ml ( biosimilar) (Abasaglar®) (Lilly) </w:t>
            </w:r>
          </w:p>
        </w:tc>
        <w:tc>
          <w:tcPr>
            <w:tcW w:w="6663" w:type="dxa"/>
          </w:tcPr>
          <w:p w:rsidR="00644C1E" w:rsidRPr="00CA0280" w:rsidRDefault="00644C1E" w:rsidP="005E0F10">
            <w:pPr>
              <w:autoSpaceDE w:val="0"/>
              <w:autoSpaceDN w:val="0"/>
              <w:adjustRightInd w:val="0"/>
              <w:rPr>
                <w:rFonts w:ascii="Arial" w:hAnsi="Arial" w:cs="Arial"/>
                <w:sz w:val="20"/>
                <w:szCs w:val="20"/>
              </w:rPr>
            </w:pPr>
            <w:r w:rsidRPr="00CA0280">
              <w:rPr>
                <w:rFonts w:ascii="Arial" w:hAnsi="Arial" w:cs="Arial"/>
                <w:sz w:val="20"/>
                <w:szCs w:val="20"/>
              </w:rPr>
              <w:t>3ml cartridge for HumaPen SAVVIO</w:t>
            </w:r>
            <w:r w:rsidRPr="00E76B8E">
              <w:rPr>
                <w:rFonts w:ascii="Arial" w:hAnsi="Arial" w:cs="Arial"/>
                <w:sz w:val="20"/>
                <w:szCs w:val="20"/>
              </w:rPr>
              <w:t>®</w:t>
            </w:r>
            <w:r w:rsidRPr="00CA0280">
              <w:rPr>
                <w:rFonts w:ascii="Arial" w:hAnsi="Arial" w:cs="Arial"/>
                <w:sz w:val="20"/>
                <w:szCs w:val="20"/>
              </w:rPr>
              <w:t xml:space="preserve"> device or KWIKPEN </w:t>
            </w:r>
            <w:r w:rsidRPr="00E76B8E">
              <w:rPr>
                <w:rFonts w:ascii="Arial" w:hAnsi="Arial" w:cs="Arial"/>
                <w:sz w:val="20"/>
                <w:szCs w:val="20"/>
              </w:rPr>
              <w:t>®</w:t>
            </w:r>
          </w:p>
        </w:tc>
        <w:tc>
          <w:tcPr>
            <w:tcW w:w="2693" w:type="dxa"/>
          </w:tcPr>
          <w:p w:rsidR="00644C1E" w:rsidRPr="00CA0280" w:rsidRDefault="00644C1E" w:rsidP="005E0F10">
            <w:pPr>
              <w:autoSpaceDE w:val="0"/>
              <w:autoSpaceDN w:val="0"/>
              <w:adjustRightInd w:val="0"/>
              <w:jc w:val="center"/>
              <w:rPr>
                <w:rFonts w:ascii="Arial" w:hAnsi="Arial" w:cs="Arial"/>
                <w:sz w:val="20"/>
                <w:szCs w:val="20"/>
              </w:rPr>
            </w:pPr>
            <w:r w:rsidRPr="00CA0280">
              <w:rPr>
                <w:rFonts w:ascii="Arial" w:hAnsi="Arial" w:cs="Arial"/>
                <w:sz w:val="20"/>
                <w:szCs w:val="20"/>
              </w:rPr>
              <w:t>£35.28</w:t>
            </w:r>
          </w:p>
        </w:tc>
      </w:tr>
      <w:tr w:rsidR="00644C1E" w:rsidRPr="00CA0280" w:rsidTr="00CA0280">
        <w:tc>
          <w:tcPr>
            <w:tcW w:w="5670" w:type="dxa"/>
          </w:tcPr>
          <w:p w:rsidR="00644C1E" w:rsidRPr="00CA0280" w:rsidRDefault="00644C1E" w:rsidP="005E0F10">
            <w:pPr>
              <w:autoSpaceDE w:val="0"/>
              <w:autoSpaceDN w:val="0"/>
              <w:adjustRightInd w:val="0"/>
              <w:rPr>
                <w:rFonts w:ascii="Arial" w:hAnsi="Arial" w:cs="Arial"/>
                <w:sz w:val="20"/>
                <w:szCs w:val="20"/>
                <w:lang w:val="fr-FR"/>
              </w:rPr>
            </w:pPr>
            <w:r w:rsidRPr="00CA0280">
              <w:rPr>
                <w:rFonts w:ascii="Arial" w:hAnsi="Arial" w:cs="Arial"/>
                <w:sz w:val="20"/>
                <w:szCs w:val="20"/>
                <w:lang w:val="fr-FR"/>
              </w:rPr>
              <w:t>Insulin glargine 300 units /ml (Toujeo®)) Sanofi</w:t>
            </w:r>
          </w:p>
        </w:tc>
        <w:tc>
          <w:tcPr>
            <w:tcW w:w="6663" w:type="dxa"/>
          </w:tcPr>
          <w:p w:rsidR="00644C1E" w:rsidRPr="00CA0280" w:rsidRDefault="00644C1E" w:rsidP="005E0F10">
            <w:pPr>
              <w:autoSpaceDE w:val="0"/>
              <w:autoSpaceDN w:val="0"/>
              <w:adjustRightInd w:val="0"/>
              <w:rPr>
                <w:rFonts w:ascii="Arial" w:hAnsi="Arial" w:cs="Arial"/>
                <w:sz w:val="20"/>
                <w:szCs w:val="20"/>
                <w:lang w:val="fr-FR"/>
              </w:rPr>
            </w:pPr>
            <w:r w:rsidRPr="00CA0280">
              <w:rPr>
                <w:rFonts w:ascii="Arial" w:hAnsi="Arial" w:cs="Arial"/>
                <w:sz w:val="20"/>
                <w:szCs w:val="20"/>
                <w:lang w:val="fr-FR"/>
              </w:rPr>
              <w:t xml:space="preserve">1.5ml </w:t>
            </w:r>
          </w:p>
        </w:tc>
        <w:tc>
          <w:tcPr>
            <w:tcW w:w="2693" w:type="dxa"/>
          </w:tcPr>
          <w:p w:rsidR="00644C1E" w:rsidRPr="00CA0280" w:rsidRDefault="00644C1E" w:rsidP="005E0F10">
            <w:pPr>
              <w:autoSpaceDE w:val="0"/>
              <w:autoSpaceDN w:val="0"/>
              <w:adjustRightInd w:val="0"/>
              <w:jc w:val="center"/>
              <w:rPr>
                <w:rFonts w:ascii="Arial" w:hAnsi="Arial" w:cs="Arial"/>
                <w:sz w:val="20"/>
                <w:szCs w:val="20"/>
                <w:lang w:val="fr-FR"/>
              </w:rPr>
            </w:pPr>
            <w:r w:rsidRPr="00CA0280">
              <w:rPr>
                <w:rFonts w:ascii="Arial" w:hAnsi="Arial" w:cs="Arial"/>
                <w:sz w:val="20"/>
                <w:szCs w:val="20"/>
              </w:rPr>
              <w:t>£33.13 (pack =3)</w:t>
            </w:r>
          </w:p>
        </w:tc>
      </w:tr>
      <w:tr w:rsidR="00644C1E" w:rsidRPr="00CA0280" w:rsidTr="00CA0280">
        <w:tc>
          <w:tcPr>
            <w:tcW w:w="5670"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Insulin degludec (Tresiba®) (NovoNordisk)</w:t>
            </w:r>
          </w:p>
        </w:tc>
        <w:tc>
          <w:tcPr>
            <w:tcW w:w="6663"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3 ml cartridge Penfill®,for NovoPen® 4 or NovoPen Echo® devices</w:t>
            </w:r>
          </w:p>
        </w:tc>
        <w:tc>
          <w:tcPr>
            <w:tcW w:w="2693" w:type="dxa"/>
          </w:tcPr>
          <w:p w:rsidR="00644C1E" w:rsidRPr="00CA0280" w:rsidRDefault="00644C1E" w:rsidP="005E0F10">
            <w:pPr>
              <w:autoSpaceDE w:val="0"/>
              <w:autoSpaceDN w:val="0"/>
              <w:adjustRightInd w:val="0"/>
              <w:jc w:val="center"/>
              <w:rPr>
                <w:rFonts w:ascii="Arial" w:hAnsi="Arial" w:cs="Arial"/>
                <w:b/>
                <w:bCs/>
                <w:sz w:val="20"/>
                <w:szCs w:val="20"/>
              </w:rPr>
            </w:pPr>
            <w:r w:rsidRPr="00CA0280">
              <w:rPr>
                <w:rFonts w:ascii="Arial" w:hAnsi="Arial" w:cs="Arial"/>
                <w:sz w:val="20"/>
                <w:szCs w:val="20"/>
              </w:rPr>
              <w:t>£72.00</w:t>
            </w:r>
          </w:p>
        </w:tc>
      </w:tr>
      <w:tr w:rsidR="00644C1E" w:rsidRPr="00CA0280" w:rsidTr="00CA0280">
        <w:tc>
          <w:tcPr>
            <w:tcW w:w="12333" w:type="dxa"/>
            <w:gridSpan w:val="2"/>
            <w:shd w:val="pct5" w:color="auto" w:fill="auto"/>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b/>
                <w:bCs/>
                <w:sz w:val="20"/>
                <w:szCs w:val="20"/>
              </w:rPr>
              <w:t>Isophane insulins (intermediate-acting insulins)</w:t>
            </w:r>
          </w:p>
        </w:tc>
        <w:tc>
          <w:tcPr>
            <w:tcW w:w="2693" w:type="dxa"/>
            <w:shd w:val="pct5" w:color="auto" w:fill="auto"/>
          </w:tcPr>
          <w:p w:rsidR="00644C1E" w:rsidRPr="00CA0280" w:rsidRDefault="00644C1E" w:rsidP="005E0F10">
            <w:pPr>
              <w:autoSpaceDE w:val="0"/>
              <w:autoSpaceDN w:val="0"/>
              <w:adjustRightInd w:val="0"/>
              <w:rPr>
                <w:rFonts w:ascii="Arial" w:hAnsi="Arial" w:cs="Arial"/>
                <w:b/>
                <w:bCs/>
                <w:sz w:val="20"/>
                <w:szCs w:val="20"/>
              </w:rPr>
            </w:pPr>
          </w:p>
        </w:tc>
      </w:tr>
      <w:tr w:rsidR="00644C1E" w:rsidRPr="00CA0280" w:rsidTr="00CA0280">
        <w:tc>
          <w:tcPr>
            <w:tcW w:w="5670"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Insuman Basal® (Sanofi-Aventis)</w:t>
            </w:r>
          </w:p>
        </w:tc>
        <w:tc>
          <w:tcPr>
            <w:tcW w:w="6663"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 xml:space="preserve">3 ml cartridge for Autopen 24® and ClickSTAR® ) </w:t>
            </w:r>
          </w:p>
        </w:tc>
        <w:tc>
          <w:tcPr>
            <w:tcW w:w="2693" w:type="dxa"/>
          </w:tcPr>
          <w:p w:rsidR="00644C1E" w:rsidRPr="00CA0280" w:rsidRDefault="00644C1E" w:rsidP="005E0F10">
            <w:pPr>
              <w:autoSpaceDE w:val="0"/>
              <w:autoSpaceDN w:val="0"/>
              <w:adjustRightInd w:val="0"/>
              <w:jc w:val="center"/>
              <w:rPr>
                <w:rFonts w:ascii="Arial" w:hAnsi="Arial" w:cs="Arial"/>
                <w:b/>
                <w:bCs/>
                <w:sz w:val="20"/>
                <w:szCs w:val="20"/>
              </w:rPr>
            </w:pPr>
            <w:r w:rsidRPr="00CA0280">
              <w:rPr>
                <w:rFonts w:ascii="Arial" w:hAnsi="Arial" w:cs="Arial"/>
                <w:sz w:val="20"/>
                <w:szCs w:val="20"/>
              </w:rPr>
              <w:t>£17.50</w:t>
            </w:r>
          </w:p>
        </w:tc>
      </w:tr>
      <w:tr w:rsidR="00644C1E" w:rsidRPr="00CA0280" w:rsidTr="00CA0280">
        <w:tc>
          <w:tcPr>
            <w:tcW w:w="5670"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Humulin I® (Lilly)</w:t>
            </w:r>
          </w:p>
        </w:tc>
        <w:tc>
          <w:tcPr>
            <w:tcW w:w="6663"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 xml:space="preserve">3 ml cartridge for Autopen Classic® and HumaPen®) </w:t>
            </w:r>
          </w:p>
        </w:tc>
        <w:tc>
          <w:tcPr>
            <w:tcW w:w="2693" w:type="dxa"/>
          </w:tcPr>
          <w:p w:rsidR="00644C1E" w:rsidRPr="00CA0280" w:rsidRDefault="00644C1E" w:rsidP="005E0F10">
            <w:pPr>
              <w:autoSpaceDE w:val="0"/>
              <w:autoSpaceDN w:val="0"/>
              <w:adjustRightInd w:val="0"/>
              <w:jc w:val="center"/>
              <w:rPr>
                <w:rFonts w:ascii="Arial" w:hAnsi="Arial" w:cs="Arial"/>
                <w:b/>
                <w:bCs/>
                <w:sz w:val="20"/>
                <w:szCs w:val="20"/>
              </w:rPr>
            </w:pPr>
            <w:r w:rsidRPr="00CA0280">
              <w:rPr>
                <w:rFonts w:ascii="Arial" w:hAnsi="Arial" w:cs="Arial"/>
                <w:sz w:val="20"/>
                <w:szCs w:val="20"/>
              </w:rPr>
              <w:t>£19.08</w:t>
            </w:r>
          </w:p>
        </w:tc>
      </w:tr>
      <w:tr w:rsidR="00644C1E" w:rsidRPr="00CA0280" w:rsidTr="00CA0280">
        <w:tc>
          <w:tcPr>
            <w:tcW w:w="5670"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Insulatard® (Novo Nordisk)</w:t>
            </w:r>
          </w:p>
        </w:tc>
        <w:tc>
          <w:tcPr>
            <w:tcW w:w="6663" w:type="dxa"/>
          </w:tcPr>
          <w:p w:rsidR="00644C1E" w:rsidRPr="00CA0280" w:rsidRDefault="00644C1E" w:rsidP="005E0F10">
            <w:pPr>
              <w:autoSpaceDE w:val="0"/>
              <w:autoSpaceDN w:val="0"/>
              <w:adjustRightInd w:val="0"/>
              <w:rPr>
                <w:rFonts w:ascii="Arial" w:hAnsi="Arial" w:cs="Arial"/>
                <w:b/>
                <w:bCs/>
                <w:sz w:val="20"/>
                <w:szCs w:val="20"/>
              </w:rPr>
            </w:pPr>
            <w:r w:rsidRPr="00CA0280">
              <w:rPr>
                <w:rFonts w:ascii="Arial" w:hAnsi="Arial" w:cs="Arial"/>
                <w:sz w:val="20"/>
                <w:szCs w:val="20"/>
              </w:rPr>
              <w:t>3 ml cartridge Penfill®, for NovoPen® 4 or NovoPen Echo® devices)</w:t>
            </w:r>
          </w:p>
        </w:tc>
        <w:tc>
          <w:tcPr>
            <w:tcW w:w="2693" w:type="dxa"/>
          </w:tcPr>
          <w:p w:rsidR="00644C1E" w:rsidRPr="00CA0280" w:rsidRDefault="00644C1E" w:rsidP="005E0F10">
            <w:pPr>
              <w:autoSpaceDE w:val="0"/>
              <w:autoSpaceDN w:val="0"/>
              <w:adjustRightInd w:val="0"/>
              <w:jc w:val="center"/>
              <w:rPr>
                <w:rFonts w:ascii="Arial" w:hAnsi="Arial" w:cs="Arial"/>
                <w:b/>
                <w:bCs/>
                <w:sz w:val="20"/>
                <w:szCs w:val="20"/>
              </w:rPr>
            </w:pPr>
            <w:r w:rsidRPr="00CA0280">
              <w:rPr>
                <w:rFonts w:ascii="Arial" w:hAnsi="Arial" w:cs="Arial"/>
                <w:sz w:val="20"/>
                <w:szCs w:val="20"/>
              </w:rPr>
              <w:t>£22.90</w:t>
            </w:r>
          </w:p>
        </w:tc>
      </w:tr>
    </w:tbl>
    <w:p w:rsidR="00644C1E" w:rsidRPr="00CA0280" w:rsidRDefault="00644C1E" w:rsidP="00820B02">
      <w:pPr>
        <w:tabs>
          <w:tab w:val="left" w:pos="1276"/>
        </w:tabs>
        <w:rPr>
          <w:rFonts w:ascii="Arial" w:hAnsi="Arial" w:cs="Arial"/>
          <w:b/>
          <w:color w:val="365F91"/>
          <w:sz w:val="20"/>
          <w:szCs w:val="20"/>
        </w:rPr>
      </w:pPr>
    </w:p>
    <w:p w:rsidR="00644C1E" w:rsidRDefault="00644C1E" w:rsidP="00820B02">
      <w:pPr>
        <w:tabs>
          <w:tab w:val="left" w:pos="1276"/>
        </w:tabs>
        <w:rPr>
          <w:rFonts w:ascii="Arial" w:hAnsi="Arial" w:cs="Arial"/>
          <w:b/>
          <w:color w:val="365F91"/>
          <w:sz w:val="20"/>
          <w:szCs w:val="20"/>
        </w:rPr>
      </w:pPr>
    </w:p>
    <w:p w:rsidR="00644C1E" w:rsidRDefault="00644C1E" w:rsidP="00820B02">
      <w:pPr>
        <w:tabs>
          <w:tab w:val="left" w:pos="1276"/>
        </w:tabs>
        <w:rPr>
          <w:rFonts w:ascii="Arial" w:hAnsi="Arial" w:cs="Arial"/>
          <w:b/>
          <w:color w:val="365F91"/>
        </w:rPr>
      </w:pPr>
    </w:p>
    <w:p w:rsidR="00644C1E" w:rsidRDefault="00644C1E" w:rsidP="00820B02">
      <w:pPr>
        <w:tabs>
          <w:tab w:val="left" w:pos="1276"/>
        </w:tabs>
        <w:rPr>
          <w:rFonts w:ascii="Arial" w:hAnsi="Arial" w:cs="Arial"/>
          <w:b/>
          <w:color w:val="365F91"/>
          <w:sz w:val="20"/>
          <w:szCs w:val="20"/>
        </w:rPr>
      </w:pPr>
      <w:r>
        <w:rPr>
          <w:rFonts w:ascii="Arial" w:hAnsi="Arial" w:cs="Arial"/>
          <w:b/>
          <w:color w:val="365F91"/>
        </w:rPr>
        <w:t xml:space="preserve">If you would like further information on any of the above or would like to find out more about the Diabetes MCN please get in touch with Gillian Kinstrie, Diabetes MCN Co-ordinator, by email to </w:t>
      </w:r>
      <w:hyperlink r:id="rId14" w:history="1">
        <w:r w:rsidRPr="005E1301">
          <w:rPr>
            <w:rStyle w:val="Hyperlink"/>
            <w:rFonts w:ascii="Arial" w:hAnsi="Arial" w:cs="Arial"/>
            <w:b/>
          </w:rPr>
          <w:t>gillian.kinstrie@ggc.scot.nhs.uk</w:t>
        </w:r>
      </w:hyperlink>
      <w:r>
        <w:rPr>
          <w:rFonts w:ascii="Arial" w:hAnsi="Arial" w:cs="Arial"/>
          <w:b/>
          <w:color w:val="365F91"/>
        </w:rPr>
        <w:t xml:space="preserve"> or by phoning 0141 314 0215.</w:t>
      </w:r>
    </w:p>
    <w:p w:rsidR="00644C1E" w:rsidRPr="00CA0280" w:rsidRDefault="00644C1E" w:rsidP="00820B02">
      <w:pPr>
        <w:tabs>
          <w:tab w:val="left" w:pos="1276"/>
        </w:tabs>
        <w:rPr>
          <w:rFonts w:ascii="Arial" w:hAnsi="Arial" w:cs="Arial"/>
          <w:b/>
          <w:color w:val="365F91"/>
          <w:sz w:val="20"/>
          <w:szCs w:val="20"/>
        </w:rPr>
      </w:pPr>
    </w:p>
    <w:sectPr w:rsidR="00644C1E" w:rsidRPr="00CA0280" w:rsidSect="00E76B8E">
      <w:pgSz w:w="16838" w:h="11906" w:orient="landscape"/>
      <w:pgMar w:top="108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30108"/>
    <w:multiLevelType w:val="hybridMultilevel"/>
    <w:tmpl w:val="F8FE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AC0A5D"/>
    <w:multiLevelType w:val="hybridMultilevel"/>
    <w:tmpl w:val="8974D1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668"/>
    <w:rsid w:val="000F39AA"/>
    <w:rsid w:val="0011102D"/>
    <w:rsid w:val="001E5FF6"/>
    <w:rsid w:val="001F7975"/>
    <w:rsid w:val="0022147E"/>
    <w:rsid w:val="0027645E"/>
    <w:rsid w:val="0028606A"/>
    <w:rsid w:val="002E0153"/>
    <w:rsid w:val="002E09FB"/>
    <w:rsid w:val="002F0126"/>
    <w:rsid w:val="003417F0"/>
    <w:rsid w:val="003B46BA"/>
    <w:rsid w:val="003D1315"/>
    <w:rsid w:val="004E068A"/>
    <w:rsid w:val="00532C1F"/>
    <w:rsid w:val="005E0F10"/>
    <w:rsid w:val="005E1301"/>
    <w:rsid w:val="00644C1E"/>
    <w:rsid w:val="0074165B"/>
    <w:rsid w:val="007910C2"/>
    <w:rsid w:val="00791AF2"/>
    <w:rsid w:val="007B3F9E"/>
    <w:rsid w:val="007E5916"/>
    <w:rsid w:val="00820B02"/>
    <w:rsid w:val="0085278F"/>
    <w:rsid w:val="0094727D"/>
    <w:rsid w:val="00971B67"/>
    <w:rsid w:val="00971FE5"/>
    <w:rsid w:val="009E284B"/>
    <w:rsid w:val="009E4992"/>
    <w:rsid w:val="00A2108C"/>
    <w:rsid w:val="00A439AF"/>
    <w:rsid w:val="00AF45FA"/>
    <w:rsid w:val="00B46B66"/>
    <w:rsid w:val="00B71888"/>
    <w:rsid w:val="00C2600B"/>
    <w:rsid w:val="00C5523B"/>
    <w:rsid w:val="00CA0280"/>
    <w:rsid w:val="00CA1C18"/>
    <w:rsid w:val="00CD0668"/>
    <w:rsid w:val="00CF06E4"/>
    <w:rsid w:val="00D77A6F"/>
    <w:rsid w:val="00DB6C45"/>
    <w:rsid w:val="00E334D3"/>
    <w:rsid w:val="00E6708C"/>
    <w:rsid w:val="00E76B8E"/>
    <w:rsid w:val="00EA2ABD"/>
    <w:rsid w:val="00EF7B1B"/>
    <w:rsid w:val="00FA72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6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D0668"/>
    <w:pPr>
      <w:keepNext/>
      <w:outlineLvl w:val="0"/>
    </w:pPr>
    <w:rPr>
      <w:rFonts w:ascii="Arial Black" w:hAnsi="Arial Black"/>
      <w:b/>
      <w:bCs/>
      <w:sz w:val="28"/>
    </w:rPr>
  </w:style>
  <w:style w:type="paragraph" w:styleId="Heading2">
    <w:name w:val="heading 2"/>
    <w:basedOn w:val="Normal"/>
    <w:next w:val="Normal"/>
    <w:link w:val="Heading2Char"/>
    <w:uiPriority w:val="99"/>
    <w:qFormat/>
    <w:rsid w:val="00CD0668"/>
    <w:pPr>
      <w:keepNext/>
      <w:jc w:val="center"/>
      <w:outlineLvl w:val="1"/>
    </w:pPr>
    <w:rPr>
      <w:b/>
      <w:bCs/>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668"/>
    <w:rPr>
      <w:rFonts w:ascii="Arial Black" w:hAnsi="Arial Black" w:cs="Times New Roman"/>
      <w:b/>
      <w:bCs/>
      <w:sz w:val="24"/>
      <w:szCs w:val="24"/>
    </w:rPr>
  </w:style>
  <w:style w:type="character" w:customStyle="1" w:styleId="Heading2Char">
    <w:name w:val="Heading 2 Char"/>
    <w:basedOn w:val="DefaultParagraphFont"/>
    <w:link w:val="Heading2"/>
    <w:uiPriority w:val="99"/>
    <w:locked/>
    <w:rsid w:val="00CD0668"/>
    <w:rPr>
      <w:rFonts w:ascii="Times New Roman" w:hAnsi="Times New Roman" w:cs="Times New Roman"/>
      <w:b/>
      <w:bCs/>
      <w:sz w:val="18"/>
      <w:szCs w:val="18"/>
    </w:rPr>
  </w:style>
  <w:style w:type="character" w:styleId="Hyperlink">
    <w:name w:val="Hyperlink"/>
    <w:basedOn w:val="DefaultParagraphFont"/>
    <w:uiPriority w:val="99"/>
    <w:rsid w:val="00CD0668"/>
    <w:rPr>
      <w:rFonts w:cs="Times New Roman"/>
      <w:color w:val="0000FF"/>
      <w:u w:val="single"/>
    </w:rPr>
  </w:style>
  <w:style w:type="paragraph" w:styleId="ListParagraph">
    <w:name w:val="List Paragraph"/>
    <w:basedOn w:val="Normal"/>
    <w:uiPriority w:val="99"/>
    <w:qFormat/>
    <w:rsid w:val="009E4992"/>
    <w:pPr>
      <w:ind w:left="720"/>
    </w:pPr>
    <w:rPr>
      <w:rFonts w:ascii="Calibri" w:eastAsia="Calibri" w:hAnsi="Calibri"/>
      <w:sz w:val="22"/>
      <w:szCs w:val="22"/>
      <w:lang w:eastAsia="en-GB"/>
    </w:rPr>
  </w:style>
  <w:style w:type="character" w:styleId="Strong">
    <w:name w:val="Strong"/>
    <w:basedOn w:val="DefaultParagraphFont"/>
    <w:uiPriority w:val="99"/>
    <w:qFormat/>
    <w:rsid w:val="00532C1F"/>
    <w:rPr>
      <w:rFonts w:cs="Times New Roman"/>
      <w:b/>
      <w:bCs/>
    </w:rPr>
  </w:style>
  <w:style w:type="paragraph" w:styleId="NormalWeb">
    <w:name w:val="Normal (Web)"/>
    <w:basedOn w:val="Normal"/>
    <w:uiPriority w:val="99"/>
    <w:rsid w:val="005E0F10"/>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1379278069">
      <w:marLeft w:val="0"/>
      <w:marRight w:val="0"/>
      <w:marTop w:val="0"/>
      <w:marBottom w:val="0"/>
      <w:divBdr>
        <w:top w:val="none" w:sz="0" w:space="0" w:color="auto"/>
        <w:left w:val="none" w:sz="0" w:space="0" w:color="auto"/>
        <w:bottom w:val="none" w:sz="0" w:space="0" w:color="auto"/>
        <w:right w:val="none" w:sz="0" w:space="0" w:color="auto"/>
      </w:divBdr>
    </w:div>
    <w:div w:id="1379278070">
      <w:marLeft w:val="0"/>
      <w:marRight w:val="0"/>
      <w:marTop w:val="0"/>
      <w:marBottom w:val="0"/>
      <w:divBdr>
        <w:top w:val="none" w:sz="0" w:space="0" w:color="auto"/>
        <w:left w:val="none" w:sz="0" w:space="0" w:color="auto"/>
        <w:bottom w:val="none" w:sz="0" w:space="0" w:color="auto"/>
        <w:right w:val="none" w:sz="0" w:space="0" w:color="auto"/>
      </w:divBdr>
    </w:div>
    <w:div w:id="1379278071">
      <w:marLeft w:val="0"/>
      <w:marRight w:val="0"/>
      <w:marTop w:val="0"/>
      <w:marBottom w:val="0"/>
      <w:divBdr>
        <w:top w:val="none" w:sz="0" w:space="0" w:color="auto"/>
        <w:left w:val="none" w:sz="0" w:space="0" w:color="auto"/>
        <w:bottom w:val="none" w:sz="0" w:space="0" w:color="auto"/>
        <w:right w:val="none" w:sz="0" w:space="0" w:color="auto"/>
      </w:divBdr>
    </w:div>
    <w:div w:id="1379278073">
      <w:marLeft w:val="0"/>
      <w:marRight w:val="0"/>
      <w:marTop w:val="0"/>
      <w:marBottom w:val="0"/>
      <w:divBdr>
        <w:top w:val="none" w:sz="0" w:space="0" w:color="auto"/>
        <w:left w:val="none" w:sz="0" w:space="0" w:color="auto"/>
        <w:bottom w:val="none" w:sz="0" w:space="0" w:color="auto"/>
        <w:right w:val="none" w:sz="0" w:space="0" w:color="auto"/>
      </w:divBdr>
    </w:div>
    <w:div w:id="1379278075">
      <w:marLeft w:val="0"/>
      <w:marRight w:val="0"/>
      <w:marTop w:val="0"/>
      <w:marBottom w:val="0"/>
      <w:divBdr>
        <w:top w:val="none" w:sz="0" w:space="0" w:color="auto"/>
        <w:left w:val="none" w:sz="0" w:space="0" w:color="auto"/>
        <w:bottom w:val="none" w:sz="0" w:space="0" w:color="auto"/>
        <w:right w:val="none" w:sz="0" w:space="0" w:color="auto"/>
      </w:divBdr>
      <w:divsChild>
        <w:div w:id="1379278080">
          <w:marLeft w:val="0"/>
          <w:marRight w:val="0"/>
          <w:marTop w:val="0"/>
          <w:marBottom w:val="0"/>
          <w:divBdr>
            <w:top w:val="none" w:sz="0" w:space="0" w:color="auto"/>
            <w:left w:val="none" w:sz="0" w:space="0" w:color="auto"/>
            <w:bottom w:val="none" w:sz="0" w:space="0" w:color="auto"/>
            <w:right w:val="none" w:sz="0" w:space="0" w:color="auto"/>
          </w:divBdr>
          <w:divsChild>
            <w:div w:id="1379278078">
              <w:marLeft w:val="0"/>
              <w:marRight w:val="0"/>
              <w:marTop w:val="0"/>
              <w:marBottom w:val="450"/>
              <w:divBdr>
                <w:top w:val="none" w:sz="0" w:space="0" w:color="auto"/>
                <w:left w:val="none" w:sz="0" w:space="0" w:color="auto"/>
                <w:bottom w:val="none" w:sz="0" w:space="0" w:color="auto"/>
                <w:right w:val="none" w:sz="0" w:space="0" w:color="auto"/>
              </w:divBdr>
              <w:divsChild>
                <w:div w:id="1379278076">
                  <w:marLeft w:val="0"/>
                  <w:marRight w:val="150"/>
                  <w:marTop w:val="0"/>
                  <w:marBottom w:val="450"/>
                  <w:divBdr>
                    <w:top w:val="none" w:sz="0" w:space="0" w:color="auto"/>
                    <w:left w:val="none" w:sz="0" w:space="0" w:color="auto"/>
                    <w:bottom w:val="none" w:sz="0" w:space="0" w:color="auto"/>
                    <w:right w:val="none" w:sz="0" w:space="0" w:color="auto"/>
                  </w:divBdr>
                  <w:divsChild>
                    <w:div w:id="1379278074">
                      <w:marLeft w:val="0"/>
                      <w:marRight w:val="0"/>
                      <w:marTop w:val="0"/>
                      <w:marBottom w:val="0"/>
                      <w:divBdr>
                        <w:top w:val="none" w:sz="0" w:space="0" w:color="auto"/>
                        <w:left w:val="none" w:sz="0" w:space="0" w:color="auto"/>
                        <w:bottom w:val="none" w:sz="0" w:space="0" w:color="auto"/>
                        <w:right w:val="none" w:sz="0" w:space="0" w:color="auto"/>
                      </w:divBdr>
                    </w:div>
                    <w:div w:id="1379278079">
                      <w:marLeft w:val="0"/>
                      <w:marRight w:val="0"/>
                      <w:marTop w:val="0"/>
                      <w:marBottom w:val="0"/>
                      <w:divBdr>
                        <w:top w:val="none" w:sz="0" w:space="0" w:color="auto"/>
                        <w:left w:val="none" w:sz="0" w:space="0" w:color="auto"/>
                        <w:bottom w:val="none" w:sz="0" w:space="0" w:color="auto"/>
                        <w:right w:val="none" w:sz="0" w:space="0" w:color="auto"/>
                      </w:divBdr>
                      <w:divsChild>
                        <w:div w:id="1379278072">
                          <w:marLeft w:val="0"/>
                          <w:marRight w:val="0"/>
                          <w:marTop w:val="0"/>
                          <w:marBottom w:val="0"/>
                          <w:divBdr>
                            <w:top w:val="single" w:sz="2" w:space="0" w:color="EEEEEE"/>
                            <w:left w:val="none" w:sz="0" w:space="0" w:color="auto"/>
                            <w:bottom w:val="none" w:sz="0" w:space="0" w:color="auto"/>
                            <w:right w:val="none" w:sz="0" w:space="0" w:color="auto"/>
                          </w:divBdr>
                        </w:div>
                      </w:divsChild>
                    </w:div>
                  </w:divsChild>
                </w:div>
              </w:divsChild>
            </w:div>
          </w:divsChild>
        </w:div>
      </w:divsChild>
    </w:div>
    <w:div w:id="1379278077">
      <w:marLeft w:val="0"/>
      <w:marRight w:val="0"/>
      <w:marTop w:val="0"/>
      <w:marBottom w:val="0"/>
      <w:divBdr>
        <w:top w:val="none" w:sz="0" w:space="0" w:color="auto"/>
        <w:left w:val="none" w:sz="0" w:space="0" w:color="auto"/>
        <w:bottom w:val="none" w:sz="0" w:space="0" w:color="auto"/>
        <w:right w:val="none" w:sz="0" w:space="0" w:color="auto"/>
      </w:divBdr>
    </w:div>
    <w:div w:id="1379278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gov.scot/news/better-treatment-for-type-1-diabetes" TargetMode="External"/><Relationship Id="rId13" Type="http://schemas.openxmlformats.org/officeDocument/2006/relationships/hyperlink" Target="http://www.ggcprescribing.org.uk/formulary/search/?q=INSULIN+GLARGINE" TargetMode="External"/><Relationship Id="rId3" Type="http://schemas.openxmlformats.org/officeDocument/2006/relationships/settings" Target="settings.xml"/><Relationship Id="rId7" Type="http://schemas.openxmlformats.org/officeDocument/2006/relationships/hyperlink" Target="mailto:Gillian.Kinstrie@ggc.scot.nhs.uk" TargetMode="External"/><Relationship Id="rId12" Type="http://schemas.openxmlformats.org/officeDocument/2006/relationships/hyperlink" Target="https://youtu.be/jN0DleFoUJ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rian.Kennon@nhs.net" TargetMode="External"/><Relationship Id="rId11" Type="http://schemas.openxmlformats.org/officeDocument/2006/relationships/hyperlink" Target="mailto:mydiabetesmyway@nhs.ne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ydiabetesmyway.scot.nhs.uk/" TargetMode="External"/><Relationship Id="rId4" Type="http://schemas.openxmlformats.org/officeDocument/2006/relationships/webSettings" Target="webSettings.xml"/><Relationship Id="rId9" Type="http://schemas.openxmlformats.org/officeDocument/2006/relationships/hyperlink" Target="http://www.nhsggc.org.uk/about-us/professional-support-sites/heart-stroke-diabetes-rheumatology-and-chronic-pain-mcns/diabetes/diabetes-education/staff-education-and-training/" TargetMode="External"/><Relationship Id="rId14" Type="http://schemas.openxmlformats.org/officeDocument/2006/relationships/hyperlink" Target="mailto:gillian.kinstrie@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2</Pages>
  <Words>877</Words>
  <Characters>5000</Characters>
  <Application>Microsoft Office Outlook</Application>
  <DocSecurity>0</DocSecurity>
  <Lines>0</Lines>
  <Paragraphs>0</Paragraphs>
  <ScaleCrop>false</ScaleCrop>
  <Company>NHS Greater Glasgow and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kinstgi684</dc:creator>
  <cp:keywords/>
  <dc:description/>
  <cp:lastModifiedBy>Gillian</cp:lastModifiedBy>
  <cp:revision>19</cp:revision>
  <cp:lastPrinted>2017-01-26T14:30:00Z</cp:lastPrinted>
  <dcterms:created xsi:type="dcterms:W3CDTF">2016-12-08T15:21:00Z</dcterms:created>
  <dcterms:modified xsi:type="dcterms:W3CDTF">2017-01-26T16:49:00Z</dcterms:modified>
</cp:coreProperties>
</file>